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001-42740</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u w:val="single" w:color="auto"/>
          <w:color w:val="auto"/>
        </w:rPr>
        <w:t>Robot Consulting Co., Ltd.</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 Gratteciel Building 2, 6th Floor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5-22-6 Shimbashi, Minato Ward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Tokyo, 105-0004</w:t>
      </w:r>
    </w:p>
    <w:p>
      <w:pPr>
        <w:spacing w:after="0" w:line="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Robot Consulting Co., Ltd., a joint stock corporation with limited liability incorporated in Japan, is furnishing its unaudited interim financial statements and notes for the six months ended September 30, 2025. The financial statements and notes are attached as Exhibit 99.1 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190"/>
        </w:trPr>
        <w:tc>
          <w:tcPr>
            <w:tcW w:w="98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40" w:type="dxa"/>
            <w:vAlign w:val="bottom"/>
            <w:tcBorders>
              <w:top w:val="single" w:sz="8" w:color="auto"/>
              <w:bottom w:val="single" w:sz="8" w:color="0000EE"/>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Unaudited Interim Financial Statements and Notes of Robot Consulting Co., Ltd. for the Six Months Ended September 30, 2025</w:t>
            </w: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 INS</w:t>
            </w:r>
          </w:p>
        </w:tc>
        <w:tc>
          <w:tcPr>
            <w:tcW w:w="10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14"/>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Robot Consulting Co., Ltd.</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Hidetoshi Yokoyama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Hidetoshi Yokoyama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Representative Director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32"/>
        </w:trPr>
        <w:tc>
          <w:tcPr>
            <w:tcW w:w="9500" w:type="dxa"/>
            <w:vAlign w:val="bottom"/>
            <w:gridSpan w:val="6"/>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8"/>
              </w:rPr>
              <w:t>ROBOT CONSULTING CO., LTD.</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00" w:type="dxa"/>
            <w:vAlign w:val="bottom"/>
            <w:gridSpan w:val="6"/>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as of and for the Six Months Ended September 30, 2025 and 2024</w:t>
            </w:r>
          </w:p>
        </w:tc>
        <w:tc>
          <w:tcPr>
            <w:tcW w:w="1260" w:type="dxa"/>
            <w:vAlign w:val="bottom"/>
          </w:tcPr>
          <w:p>
            <w:pPr>
              <w:spacing w:after="0"/>
              <w:rPr>
                <w:sz w:val="24"/>
                <w:szCs w:val="24"/>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5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Balance Sheets as of September 30, 2025 (unaudited) and March 31, 2025</w:t>
            </w:r>
          </w:p>
        </w:tc>
        <w:tc>
          <w:tcPr>
            <w:tcW w:w="126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5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Statements of Operations for the Six Months Ended September 30, 2025 and 2024 (unaudited)</w:t>
            </w:r>
          </w:p>
        </w:tc>
        <w:tc>
          <w:tcPr>
            <w:tcW w:w="126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5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Statements of Shareholders’ Equity/(Deficit) for the Six Months Ended September 30, 2025 and 2024 (unaudited)</w:t>
            </w:r>
          </w:p>
        </w:tc>
        <w:tc>
          <w:tcPr>
            <w:tcW w:w="126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5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Statements of Cash Flows for the Six Months Ended September 30, 2025 and 2024 (unaudited)</w:t>
            </w:r>
          </w:p>
        </w:tc>
        <w:tc>
          <w:tcPr>
            <w:tcW w:w="126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Notes to Financial Statements for the Six Months Ended September 30, 2025 and 2024 (unaudited)</w:t>
            </w:r>
          </w:p>
        </w:tc>
        <w:tc>
          <w:tcPr>
            <w:tcW w:w="1940" w:type="dxa"/>
            <w:vAlign w:val="bottom"/>
            <w:tcBorders>
              <w:bottom w:val="single" w:sz="8" w:color="CCEEFF"/>
            </w:tcBorders>
            <w:gridSpan w:val="2"/>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9500" w:type="dxa"/>
            <w:vAlign w:val="bottom"/>
            <w:tcBorders>
              <w:bottom w:val="single" w:sz="8" w:color="auto"/>
            </w:tcBorders>
            <w:gridSpan w:val="6"/>
          </w:tcPr>
          <w:p>
            <w:pPr>
              <w:jc w:val="center"/>
              <w:ind w:left="1650"/>
              <w:spacing w:after="0"/>
              <w:rPr>
                <w:sz w:val="20"/>
                <w:szCs w:val="20"/>
                <w:color w:val="auto"/>
              </w:rPr>
            </w:pPr>
            <w:r>
              <w:rPr>
                <w:rFonts w:ascii="Times New Roman" w:cs="Times New Roman" w:eastAsia="Times New Roman" w:hAnsi="Times New Roman"/>
                <w:sz w:val="18"/>
                <w:szCs w:val="18"/>
                <w:color w:val="auto"/>
                <w:w w:val="95"/>
              </w:rPr>
              <w:t>F-1</w:t>
            </w:r>
          </w:p>
        </w:tc>
        <w:tc>
          <w:tcPr>
            <w:tcW w:w="1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offering costs</w:t>
      </w:r>
    </w:p>
    <w:p>
      <w:pPr>
        <w:spacing w:after="0" w:line="9" w:lineRule="exact"/>
        <w:rPr>
          <w:sz w:val="20"/>
          <w:szCs w:val="20"/>
          <w:color w:val="auto"/>
        </w:rPr>
      </w:pPr>
    </w:p>
    <w:p>
      <w:pPr>
        <w:ind w:left="360" w:right="300" w:hanging="179"/>
        <w:spacing w:after="0" w:line="263" w:lineRule="auto"/>
        <w:rPr>
          <w:sz w:val="20"/>
          <w:szCs w:val="20"/>
          <w:color w:val="auto"/>
        </w:rPr>
      </w:pPr>
      <w:r>
        <w:rPr>
          <w:rFonts w:ascii="Times New Roman" w:cs="Times New Roman" w:eastAsia="Times New Roman" w:hAnsi="Times New Roman"/>
          <w:sz w:val="18"/>
          <w:szCs w:val="18"/>
          <w:color w:val="auto"/>
        </w:rPr>
        <w:t>Prepaid expenses and other current assets Total Current Assets</w:t>
      </w:r>
    </w:p>
    <w:p>
      <w:pPr>
        <w:spacing w:after="0" w:line="1"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7"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Restricted cash</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Investments - Non-current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0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ROBOT CONSULTING CO., LTD.</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10"/>
        </w:trPr>
        <w:tc>
          <w:tcPr>
            <w:tcW w:w="30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8"/>
        </w:trPr>
        <w:tc>
          <w:tcPr>
            <w:tcW w:w="30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(Yen in thousands, except share data)</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45"/>
        </w:trPr>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09"/>
        </w:trPr>
        <w:tc>
          <w:tcPr>
            <w:tcW w:w="27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2"/>
        </w:trPr>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607"/>
        </w:trPr>
        <w:tc>
          <w:tcPr>
            <w:tcW w:w="3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597,902</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112,012</w:t>
            </w:r>
          </w:p>
        </w:tc>
      </w:tr>
      <w:tr>
        <w:trPr>
          <w:trHeight w:val="216"/>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71,325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w:t>
            </w:r>
          </w:p>
        </w:tc>
      </w:tr>
      <w:tr>
        <w:trPr>
          <w:trHeight w:val="229"/>
        </w:trPr>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131,035</w:t>
            </w:r>
          </w:p>
        </w:tc>
      </w:tr>
      <w:tr>
        <w:trPr>
          <w:trHeight w:val="234"/>
        </w:trPr>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656,685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w:t>
            </w:r>
          </w:p>
        </w:tc>
      </w:tr>
      <w:tr>
        <w:trPr>
          <w:trHeight w:val="209"/>
        </w:trPr>
        <w:tc>
          <w:tcPr>
            <w:tcW w:w="27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1,325,912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277,500</w:t>
            </w:r>
          </w:p>
        </w:tc>
      </w:tr>
      <w:tr>
        <w:trPr>
          <w:trHeight w:val="407"/>
        </w:trPr>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19,470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19,470</w:t>
            </w:r>
          </w:p>
        </w:tc>
      </w:tr>
      <w:tr>
        <w:trPr>
          <w:trHeight w:val="216"/>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6,129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r>
      <w:tr>
        <w:trPr>
          <w:trHeight w:val="216"/>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11,379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12,305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r>
      <w:tr>
        <w:trPr>
          <w:trHeight w:val="229"/>
        </w:trPr>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23"/>
        </w:trPr>
        <w:tc>
          <w:tcPr>
            <w:tcW w:w="27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1,377,750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313,972</w:t>
            </w:r>
          </w:p>
        </w:tc>
      </w:tr>
      <w:tr>
        <w:trPr>
          <w:trHeight w:val="20"/>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-2133600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-1859280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-1584960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-1302385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-1010920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-736600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-462280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-179070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7040"/>
          </w:cols>
          <w:pgMar w:left="320" w:top="684"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78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137,788</w:t>
            </w:r>
          </w:p>
        </w:tc>
        <w:tc>
          <w:tcPr>
            <w:tcW w:w="62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113,962</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62,434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58,150</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28,268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444,955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351,937</w:t>
            </w:r>
          </w:p>
        </w:tc>
        <w:tc>
          <w:tcPr>
            <w:tcW w:w="80" w:type="dxa"/>
            <w:vAlign w:val="bottom"/>
          </w:tcPr>
          <w:p>
            <w:pPr>
              <w:spacing w:after="0"/>
              <w:rPr>
                <w:sz w:val="18"/>
                <w:szCs w:val="18"/>
                <w:color w:val="auto"/>
              </w:rPr>
            </w:pPr>
          </w:p>
        </w:tc>
      </w:tr>
      <w:tr>
        <w:trPr>
          <w:trHeight w:val="23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7,140</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r>
      <w:tr>
        <w:trPr>
          <w:trHeight w:val="210"/>
        </w:trPr>
        <w:tc>
          <w:tcPr>
            <w:tcW w:w="6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680,585</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526,065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4,239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467,346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412,996</w:t>
            </w:r>
          </w:p>
        </w:tc>
        <w:tc>
          <w:tcPr>
            <w:tcW w:w="80" w:type="dxa"/>
            <w:vAlign w:val="bottom"/>
            <w:shd w:val="clear" w:color="auto" w:fill="CCEEFF"/>
          </w:tcPr>
          <w:p>
            <w:pPr>
              <w:spacing w:after="0"/>
              <w:rPr>
                <w:sz w:val="18"/>
                <w:szCs w:val="18"/>
                <w:color w:val="auto"/>
              </w:rPr>
            </w:pPr>
          </w:p>
        </w:tc>
      </w:tr>
      <w:tr>
        <w:trPr>
          <w:trHeight w:val="230"/>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10,736</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25,817</w:t>
            </w:r>
          </w:p>
        </w:tc>
      </w:tr>
      <w:tr>
        <w:trPr>
          <w:trHeight w:val="210"/>
        </w:trPr>
        <w:tc>
          <w:tcPr>
            <w:tcW w:w="68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1,162,906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Commitment and Contingencies (Note 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JPY1.66667 par value - 168,000,000 shares authorized as of September 30,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2025 and March 31, 2025; 45,960,000 shares and 42,210,000 shares issued and outstanding</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2025 and March 31, 2025, respectively*</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76,600</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70,350</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2,598,331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1,060,750</w:t>
            </w:r>
          </w:p>
        </w:tc>
        <w:tc>
          <w:tcPr>
            <w:tcW w:w="80" w:type="dxa"/>
            <w:vAlign w:val="bottom"/>
            <w:shd w:val="clear" w:color="auto" w:fill="CCEEFF"/>
          </w:tcPr>
          <w:p>
            <w:pPr>
              <w:spacing w:after="0"/>
              <w:rPr>
                <w:sz w:val="18"/>
                <w:szCs w:val="18"/>
                <w:color w:val="auto"/>
              </w:rPr>
            </w:pPr>
          </w:p>
        </w:tc>
      </w:tr>
      <w:tr>
        <w:trPr>
          <w:trHeight w:val="230"/>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(2,460,087)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(1,782,485)</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214,844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(651,385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1,377,750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25" w:lineRule="exact"/>
        <w:rPr>
          <w:sz w:val="20"/>
          <w:szCs w:val="20"/>
          <w:color w:val="auto"/>
        </w:rPr>
      </w:pPr>
    </w:p>
    <w:p>
      <w:pPr>
        <w:ind w:left="360" w:hanging="172"/>
        <w:spacing w:after="0" w:line="282" w:lineRule="auto"/>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and the number of shares issued and outstanding presented above are adjusted retrospectively to reflect the 1 for 6 sub-division effected on January 7,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ROBOT CONSULTING CO.,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(Yen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254,222</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354,008</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57,304</w:t>
            </w:r>
          </w:p>
        </w:tc>
        <w:tc>
          <w:tcPr>
            <w:tcW w:w="0" w:type="dxa"/>
            <w:vAlign w:val="bottom"/>
          </w:tcPr>
          <w:p>
            <w:pPr>
              <w:spacing w:after="0"/>
              <w:rPr>
                <w:sz w:val="1"/>
                <w:szCs w:val="1"/>
                <w:color w:val="auto"/>
              </w:rPr>
            </w:pPr>
          </w:p>
        </w:tc>
      </w:tr>
      <w:tr>
        <w:trPr>
          <w:trHeight w:val="22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901,512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571,502</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(20,327)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(677,602)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(677,602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shareholders, basic and diluted</w:t>
            </w:r>
          </w:p>
        </w:tc>
        <w:tc>
          <w:tcPr>
            <w:tcW w:w="1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8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 diluted*</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43,775,934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42,210,000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Giving retroactive effect to the 1 for 6 sub-division effected on January 7, 2025.</w:t>
      </w:r>
    </w:p>
    <w:p>
      <w:pPr>
        <w:spacing w:after="0" w:line="3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ROBOT CONSULTING CO.,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SHAREHOLDERS’ EQUITY/(DEFICIT)</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(Yen 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p>
      <w:pPr>
        <w:spacing w:after="0" w:line="31"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18"/>
          <w:szCs w:val="18"/>
          <w:color w:val="auto"/>
        </w:rPr>
        <w:t>Issuance of ordinary shares upon initial public offering, net of offering costs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September 30, 2025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0"/>
        </w:trPr>
        <w:tc>
          <w:tcPr>
            <w:tcW w:w="28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 Class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38"/>
        </w:trPr>
        <w:tc>
          <w:tcPr>
            <w:tcW w:w="28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Ordinary Share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23"/>
        </w:trPr>
        <w:tc>
          <w:tcPr>
            <w:tcW w:w="14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28"/>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42,210,000</w:t>
            </w: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1,060,750</w:t>
            </w: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(1,782,485)</w:t>
            </w: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(651,385)</w:t>
            </w:r>
          </w:p>
        </w:tc>
        <w:tc>
          <w:tcPr>
            <w:tcW w:w="60" w:type="dxa"/>
            <w:vAlign w:val="bottom"/>
            <w:gridSpan w:val="2"/>
          </w:tcPr>
          <w:p>
            <w:pPr>
              <w:spacing w:after="0"/>
              <w:rPr>
                <w:sz w:val="19"/>
                <w:szCs w:val="19"/>
                <w:color w:val="auto"/>
              </w:rPr>
            </w:pPr>
          </w:p>
        </w:tc>
      </w:tr>
      <w:tr>
        <w:trPr>
          <w:trHeight w:val="395"/>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3,750,000</w:t>
            </w:r>
          </w:p>
        </w:tc>
        <w:tc>
          <w:tcPr>
            <w:tcW w:w="1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6,250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1,521,213</w:t>
            </w:r>
          </w:p>
        </w:tc>
        <w:tc>
          <w:tcPr>
            <w:tcW w:w="180" w:type="dxa"/>
            <w:vAlign w:val="bottom"/>
          </w:tcPr>
          <w:p>
            <w:pPr>
              <w:spacing w:after="0"/>
              <w:rPr>
                <w:sz w:val="24"/>
                <w:szCs w:val="24"/>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1,527,463</w:t>
            </w:r>
          </w:p>
        </w:tc>
        <w:tc>
          <w:tcPr>
            <w:tcW w:w="40" w:type="dxa"/>
            <w:vAlign w:val="bottom"/>
          </w:tcPr>
          <w:p>
            <w:pPr>
              <w:spacing w:after="0"/>
              <w:rPr>
                <w:sz w:val="24"/>
                <w:szCs w:val="24"/>
                <w:color w:val="auto"/>
              </w:rPr>
            </w:pPr>
          </w:p>
        </w:tc>
      </w:tr>
      <w:tr>
        <w:trPr>
          <w:trHeight w:val="216"/>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16,368</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16,368</w:t>
            </w:r>
          </w:p>
        </w:tc>
      </w:tr>
      <w:tr>
        <w:trPr>
          <w:trHeight w:val="248"/>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(677,602)</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(677,602)</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45,960,000</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2,598,331</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(2,460,087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214,844</w:t>
            </w:r>
          </w:p>
        </w:tc>
        <w:tc>
          <w:tcPr>
            <w:tcW w:w="4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-882650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-462280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-179070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520" w:space="660"/>
            <w:col w:w="706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0"/>
        </w:trPr>
        <w:tc>
          <w:tcPr>
            <w:tcW w:w="4180" w:type="dxa"/>
            <w:vAlign w:val="bottom"/>
          </w:tcPr>
          <w:p>
            <w:pPr>
              <w:spacing w:after="0"/>
              <w:rPr>
                <w:sz w:val="19"/>
                <w:szCs w:val="19"/>
                <w:color w:val="auto"/>
              </w:rPr>
            </w:pPr>
          </w:p>
        </w:tc>
        <w:tc>
          <w:tcPr>
            <w:tcW w:w="28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 Class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52"/>
        </w:trPr>
        <w:tc>
          <w:tcPr>
            <w:tcW w:w="4180" w:type="dxa"/>
            <w:vAlign w:val="bottom"/>
          </w:tcPr>
          <w:p>
            <w:pPr>
              <w:spacing w:after="0"/>
              <w:rPr>
                <w:sz w:val="21"/>
                <w:szCs w:val="21"/>
                <w:color w:val="auto"/>
              </w:rPr>
            </w:pPr>
          </w:p>
        </w:tc>
        <w:tc>
          <w:tcPr>
            <w:tcW w:w="28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Ordinary Share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21"/>
                <w:szCs w:val="21"/>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23"/>
        </w:trPr>
        <w:tc>
          <w:tcPr>
            <w:tcW w:w="4180" w:type="dxa"/>
            <w:vAlign w:val="bottom"/>
          </w:tcPr>
          <w:p>
            <w:pPr>
              <w:spacing w:after="0"/>
              <w:rPr>
                <w:sz w:val="19"/>
                <w:szCs w:val="19"/>
                <w:color w:val="auto"/>
              </w:rPr>
            </w:pPr>
          </w:p>
        </w:tc>
        <w:tc>
          <w:tcPr>
            <w:tcW w:w="14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42,210,000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1,060,750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7"/>
              </w:rPr>
              <w:t>(116,700)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(277,671)</w:t>
            </w:r>
          </w:p>
        </w:tc>
        <w:tc>
          <w:tcPr>
            <w:tcW w:w="16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(277,671)</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42,210,000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(1,525,471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(394,371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25" w:lineRule="exact"/>
        <w:rPr>
          <w:sz w:val="20"/>
          <w:szCs w:val="20"/>
          <w:color w:val="auto"/>
        </w:rPr>
      </w:pPr>
    </w:p>
    <w:p>
      <w:pPr>
        <w:ind w:left="5500" w:right="1040" w:hanging="5312"/>
        <w:spacing w:after="0" w:line="657" w:lineRule="auto"/>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presented above is adjusted retrospectively to reflect the 1 for 6 sub-division effected on January 7, 2025.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ROBOT CONSULTING CO.,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(Yen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6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(677,602)</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(277,671)</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1,104</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expenses</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3,297</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 expense</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16,368</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(49,913)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60,686</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receivable s</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(643,643)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19,575</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54,763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(154,052)</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147,368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164,175</w:t>
            </w: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29"/>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(15,079)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6,926</w:t>
            </w:r>
          </w:p>
        </w:tc>
      </w:tr>
      <w:tr>
        <w:trPr>
          <w:trHeight w:val="210"/>
        </w:trPr>
        <w:tc>
          <w:tcPr>
            <w:tcW w:w="6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(1,167,172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(181,750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(7,218)</w:t>
            </w:r>
          </w:p>
        </w:tc>
      </w:tr>
      <w:tr>
        <w:trPr>
          <w:trHeight w:val="22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(5,313)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10"/>
        </w:trPr>
        <w:tc>
          <w:tcPr>
            <w:tcW w:w="6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Payment for deferred offering costs</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(131,181)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(38,978)</w:t>
            </w: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 from issuance of shares</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1,789,679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8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1,658,498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 cash equivalents and restricted cash</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(228,579)</w:t>
            </w:r>
          </w:p>
        </w:tc>
        <w:tc>
          <w:tcPr>
            <w:tcW w:w="100" w:type="dxa"/>
            <w:vAlign w:val="bottom"/>
            <w:shd w:val="clear" w:color="auto" w:fill="CCEEFF"/>
          </w:tcPr>
          <w:p>
            <w:pPr>
              <w:spacing w:after="0"/>
              <w:rPr>
                <w:sz w:val="18"/>
                <w:szCs w:val="18"/>
                <w:color w:val="auto"/>
              </w:rPr>
            </w:pP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131,482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491,118</w:t>
            </w:r>
          </w:p>
        </w:tc>
      </w:tr>
      <w:tr>
        <w:trPr>
          <w:trHeight w:val="223"/>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Restricted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25"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597,902</w:t>
            </w:r>
          </w:p>
        </w:tc>
        <w:tc>
          <w:tcPr>
            <w:tcW w:w="72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243,069</w:t>
            </w: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19,470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19,470</w:t>
            </w:r>
          </w:p>
        </w:tc>
      </w:tr>
      <w:tr>
        <w:trPr>
          <w:trHeight w:val="223"/>
        </w:trPr>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617,372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262,539</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260" w:space="720"/>
            <w:col w:w="4260"/>
          </w:cols>
          <w:pgMar w:left="320" w:top="684"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ROBOT CONSULTING CO.,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(Yen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Robot Consulting Co., Ltd. (the “Company”) was incorporated on April 17, 2020 in Tokyo, Japan. The Company’s principal product is Labor Robot, a cloud-based software which provides human resource solutions. The Company also provides consulting support services such as e-learning courses relating to digital transformation and software installation services. The Company is committed to researching, developing, and selling artificial intelligence (“AI”) technology.</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Stock split</w:t>
      </w:r>
      <w:r>
        <w:rPr>
          <w:rFonts w:ascii="Times New Roman" w:cs="Times New Roman" w:eastAsia="Times New Roman" w:hAnsi="Times New Roman"/>
          <w:sz w:val="18"/>
          <w:szCs w:val="18"/>
          <w:color w:val="auto"/>
        </w:rPr>
        <w:t>- On January 7, 2025, the Company’s board of directors approved the change in the number of ordinary shares authorized and a sub-division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ordinary shares issued at a ratio of 1:6, which became effective on January 7, 2025. As a result, the number of shares authorized and issued became 168,000,000 and 42,210,000 shares, respectively, with a par value of JPY1.66667 each.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a loss of JPY677,602 and JPY277,671 for the six months ended September 30, 2025 and 2024, respectively. This operating loss has resulted in an accumulated deficit of JPY2,460,087 as of September 30, 2025. These factors raise substantial doubt regarding the Company’s ability to continue as a going concern.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unaudited financial statements have been prepared assuming that the Company will continue as a going concern, which contemplates the realization of assets and the liquidation of liabilities in the normal course of business. The Company’s ability to continue as a going concern is dependent upon the Company’s ability to attract and retain revenue generating customers, acquire new customer contracts, and secure additional financing.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consider obtaining additional financing in the future through the issuance of the Company’s ordinary shares through equity or debt financings, or other means. The Company, however, is dependent upon its ability to obtain new revenue generating customer contracts and secure equity and/or debt financing and there are no assurances that the Company will be successful. The financial statements do not include any adjustments to the recoverability and classification of recorded asset amounts, or the amounts and classification of liabilities that might be necessary should the Company be unable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financial statements are presented in thousand Japanese yen, (“JPY” or “¥”), the currency of the country in which the Company is incorporated and primarily operates. The accompanying unaudited financial statements are prepared in accordance with accounting principles generally accepted in the United States of America (“U.S. GAAP”) and pursuant to the rules and regulations of the U.S. Securities and Exchange Commission (the “SEC”). The interim financial statements are condensed and should be read in conjunction with the Company’s latest annual financial statements. The interim disclosures generally do not repeat those in the annual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financial statements reflect all normal recurring adjustments necessary to present fairly the Company’s financial position, results of operations, shareholders’ equity, and cash flows for the interim periods, but are not necessarily indicative of the results of operations to be expected for the fiscal year ending March 31, 2026 or any other future interim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the U.S. GAAP requires management to make estimates and assumptions that affect the reported amounts of assets and liabilities, the disclosure of contingent assets and liabilities as of the reporting date, and the reported amounts of revenue and expense during the reporting period. These estimates are based on management’s best knowledge of current events and actions that the Company may undertake in the future and include, but are not limited to, useful lives of property and equipment, the carrying value of operating lease right-of-use asset, allowance for credit losses on accounts receivable, valuation of share-based compensation, and valuation allowance against net deferred tax assets.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all periods presented in the financial statements. To determine the appropriate amount of revenue to be recognized in accordance with ASC 606, the Company follows a five-step model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 Identification of the contract with a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Identification of the performance obligation in the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 Determination of the transaction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 Allocation of the transaction price to the performance obligation in the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 Recognition of revenue when, or as, a performance obligation is satisfied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September 30, 2025 and 2024, the Company generated revenues from sales of software and consulting and support services.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recognized when the control of the promised products or services is transferred by the Company to its customers. The amount of revenue recognized reflects the consideration that the Company expects to receive in exchange for the products or services delivered. The transaction prices are generally fixed at contract inception. Consumption taxes collected from customers and remitted to government authorities are excluded from revenue and deferred revenue.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contract inception, the Company assesses the performance obligations, or deliverables, the Company has agreed to provide pursuant to the contract and determines if they are individually distinct or if they should be combined with other performance obligations. Contracts that contain multiple performance obligations require an allocation of the transaction price to each performance obligation based on each performance obligation’s relative standalone selling price. Performance obligations are combined when an individual performance obligation does not have standalone value to a customer. For example, customers do not have the ability to take possession of the Company’s software, “Labor Robot”, and, as a result, the Company’s contracts for sales of software and hosting service arrangements are typically accounted for as service arrangements with a single performance obligation.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Software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sales of software is primarily comprised of sales of Labor Robot, Lawyer Robot and Billing Robot. Revenue is recognized on a straight-line basis over the period of five to ten years as the Company’s performance obligation is satisfied over-time and as control of the promised service is transferred to the customer, commencing when the product key is delivered to the customer.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and Support Services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consulting and support services is recognized when the control of the promised service is transferred by the Company to its customer. Consulting and support services the Company provided during the six months ended September 30, 2025 and 2024, include the following services. See note 11 for the disaggregation of revenue.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E-learning: The Company provides online training courses to help employees of small and medium-sized businesses learn the latest trends in digital transformation. Revenue is recognized on a straight-line basis over the contract period which is generally one month as the Company’s performance obligation is satisfied over-time, commencing when the access code is delivered to the customer.</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Software installation support: The Company helps customers with the installation and initial set-up of the software and provides support services during the contract period. Revenue is recognized on a straight-line basis over the contract period which is generally one year as the Company’s performance obligation is satisfied over-time.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uses subcontractors. The Company assesses and records revenue on a gross basis as a principal versus on a net basis as an agent in the presentation of revenues and expenses. The Company has concluded that the Company is the principal in the performance obligation and gross reporting is appropriate because the Company (i) has the risk of identifying and hiring qualified vendors, (ii) has the discretion to select the vendors and establish their price and duties, and (iii) bears the risk for services that are not fully paid for by its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(“CEO”), who reviews financial information for purposes of making operating decisions, assessing financial performance, and allocating resources. The Company’s CODM evaluates financial information as a whole for the purpose of assessing financial performance and making operating decisions. During the six months ended September 30, 2025 and 2024, there were no revenues derived or long-lived assets held outside of Japan.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 and Vendors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September 30, 2025 and 2024, there was one customer who accounted for more than 10% of the Company’s total revenue in both periods. As of September 30, 2025 there were no customers who accounted for more than 10% of the Company’s total accounts receivable. As of March 31, 2025, three customers who accounted for more than 10% of the Company’s total accounts receivable.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September 30, 2025 and 2024, there were two suppliers and one supplier, respectively, who accounted for more than 10% of the Company’s total purchases. As of September 30, 2025 and March 31, 2025, there were three suppliers and two suppliers, respectively, who accounted for more than 10% of the Company’s total accounts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short-term investments purchased with an initial maturity date of three months or less to be cash equivalents. The Company’s restricted cash consists of the earmarked balance related to the ongoing lawsuit.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primarily consist of the amounts billed and currently due from customers, net of an allowance for credit loss, if recorded. When the Company has an unconditional right to payment, subject only to the passage of time, the right is treated as receivable. The Company’s accounts receivable balances are unsecured, bearing no interest. Fees billed in advance of the related contractual term represent contract liabilities and presented as deferred revenue.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each balance sheet date, the Company recognizes an expected allowance for credit losses. In addition, also at each reporting date, this estimate is updated to reflect any changes in credit risk since the receivable was initially recorded. This estimate is calculated on a pooled basis where similar risk characteristics exist.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allowance estimate is derived from a review of the Company’s historical losses on the aging of receivables. This estimate is adjusted for management’s assessment of current conditions, reasonable and supportable forecasts regarding future events, and any other factors deemed relevant by the Company. The Company believes that historical loss information is a reasonable starting point to calculate the expected allowance for credit losses, given that the composition of the Company’s customers has remained constant. The Company recorded JPY203 as the allowance for credit loss as of September 30, 2025 and March 31, 2025. Provisions for the allowance for expected credit losses are recorded in selling, general and administrative expenses in the Statements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related to an equity financing that is likely to be successfully completed, until such financing is consummated. After consummation of an equity financing, these costs are recorded as a reduction of the proceeds received as a result of the financing. Should a planned equity financing be abandoned, terminated, or significantly delayed, the deferred offering costs are immediately written off to operating expenses in the Statements of Operations in the period of determination.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completion of the initial public offering (the “IPO”) the Company completed on July 18, 2025, the deferred offering costs were fully charged to additional paid-in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the cost less accumulated depreciation. Depreciation is computed using the straight-line method, depending on the pattern of consumption of the economic benefits by asset class, over the estimated useful lives of the assets,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20" w:type="dxa"/>
            <w:vAlign w:val="bottom"/>
            <w:tcBorders>
              <w:bottom w:val="single" w:sz="8" w:color="CCEEFF"/>
            </w:tcBorders>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Fixtures</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Shorter of 3 years or lease term</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Tooling and equipment</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Repair and maintenance costs are expensed as incurred. The Company records depreciation expenses in selling, general and administrative expenses 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the Company’s capitalized software, patents and trademarks. Software is amortized over five to ten years. Patents are amortized over eight years. Trademarks are amortized over 10 years. Amortization expenses are recorded in selling, general and administrative expenses in the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or Disposal of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used in operations are reviewed for impairment whenever events or changes in circumstances indicate that carrying amounts may not be recoverable. For long-lived assets to be held and used, the Company recognizes an impairment loss only if the carrying amount is not recoverable when compared to the Company’s undiscounted cash flows and the impairment loss is measured based on the difference between the carrying amount and fair value. Long-lived assets held for sales are reported at the lower of cost or fair value less costs to sell. There were no impairments of long-lived assets during the six months ended September 30,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Leases are comprised of operating leases for office space. In accordance with the Financial Accounting Standards Board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a lease at inception. Operating leases are included in operating lease right-of-use (“ROU”) assets, current portion of operating lease liabilities, and non-current operating lease liabilities in the Balance Sheets. Operating lease ROU assets and operating lease liabilities are recognized based on the present value of future minimum lease payments over the lease term at commencement date.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For leases with terms greater than 12 months, the Company records an ROU asset and a lease liability representing the present value of future lease payments. The discount rate used to measure the lease asset and liability is determined at the beginning of the lease term using the rate implicit in the lease, or the Company’s collateralized incremental borrowing rate. The implicit rate within the Company’s leases is generally not determinable and, therefore, the incremental borrowing rate at lease commencement is utilized to determine the present value of lease payments. The Company estimates its incremental borrowing rate based on third-party lender quotes to obtain secured debt in a like currency for a similar asset over a timeframe similar to the term of the lease. For those contracts that include fixed rental payments for both the use of the asset (“lease costs”) as well as for other occupancy or service costs relating to the asset (“non-lease costs”), the Company generally includes both the lease costs and non-lease costs in the measurement of the lease asset and liability.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the “package of practical expedients” and as a result is not required to reassess its prior accounting conclusions regarding lease identification, lease classification and initial direct costs for lease contracts existing as of the transition date. The Company accounts for each lease and any associated non-lease components as a single lease component across all asset classes. Lease expenses for the Company’s operating leases are recognized on a straight-line basis over the lease term except for variable lease costs, which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invests in business partners that support the Company’s underlying business strategy and provide the Company the ability to enter into new markets, thereby expanding the reach of the Company’s products and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investments consist of investments in privately held entities that do not report net asset value (“NAV”) per share. These investments are measured at costs, adjusted for observable price changes and impairments. Gain or loss resulting from price changes and impairments are recognized in other income (expense), net in the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activities related to the Company’s investments during the six months ended September 30, 2025 and the fiscal year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reports financial assets and liabilities and nonfinancial assets and liabilities that are recognized or disclosed at fair value in the financial statements on a recurring basis 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ASC 820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the Company would transact and the market-based risk measurements or assumptions that market participants would use in pricing the asset or liability, such as inherent risk, transfer restrictions and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820 also establishes a fair value hierarchy, which prioritizes the inputs to valuation techniques used to measure fair value into three levels.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established a hierarchy framework to classify the fair value based on the observability of significant inputs to the measurement.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Determined using an unadjusted quoted price in an active market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Estimated using inputs other than quoted prices included within Level 1 that are observable, either directly or indirectly.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Estimated using unobservable inputs that are significant to the fair value of the assets or liabilities.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investments is determined based on inputs not observable in the market and classified as Level 3 within the fair value hierarchy.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Japanese yen as its reporting currency. The Company’s functional currency is Japanese yen. Monetary assets and liabilities denominated in currencies other than the functional currency are remeasured into the functional currency of the Company at the balance sheet date foreign exchange rate, and gains and losses resulting from such remeasurement are included in other income (expenses), net in the Statement of Operations. Foreign currency denominated income and expenses are remeasured using the average exchange rate for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may not align with the right to invoice the customer. The Company records accounts receivable when it has the unconditional right to issue an invoice and receive payment regardless of whether revenue has been recognized. If revenue has not yet been recognized, then deferred revenue, or contract liability, is recorded. Deferred revenue consists of consideration recorded in advance of performance obligations being delivered and is classified as current or non-current based on the related period in which services are expected to be provided.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primarily consists of costs paid to the Company’s vendors and employees related to the Company’s delivery of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1"/>
        <w:spacing w:after="0" w:line="282" w:lineRule="auto"/>
        <w:rPr>
          <w:sz w:val="20"/>
          <w:szCs w:val="20"/>
          <w:color w:val="auto"/>
        </w:rPr>
      </w:pPr>
      <w:r>
        <w:rPr>
          <w:rFonts w:ascii="Times New Roman" w:cs="Times New Roman" w:eastAsia="Times New Roman" w:hAnsi="Times New Roman"/>
          <w:sz w:val="18"/>
          <w:szCs w:val="18"/>
          <w:color w:val="auto"/>
        </w:rPr>
        <w:t>Research and development (“R&amp;D”) costs consist primarily of fees paid to vendors for research, prototyping and consulting. Most R&amp;D costs are expensed as incurred.</w:t>
      </w:r>
    </w:p>
    <w:p>
      <w:pPr>
        <w:spacing w:after="0" w:line="162" w:lineRule="exact"/>
        <w:rPr>
          <w:sz w:val="20"/>
          <w:szCs w:val="20"/>
          <w:color w:val="auto"/>
        </w:rPr>
      </w:pPr>
    </w:p>
    <w:p>
      <w:pPr>
        <w:jc w:val="both"/>
        <w:ind w:firstLine="1"/>
        <w:spacing w:after="0" w:line="282" w:lineRule="auto"/>
        <w:rPr>
          <w:sz w:val="20"/>
          <w:szCs w:val="20"/>
          <w:color w:val="auto"/>
        </w:rPr>
      </w:pPr>
      <w:r>
        <w:rPr>
          <w:rFonts w:ascii="Times New Roman" w:cs="Times New Roman" w:eastAsia="Times New Roman" w:hAnsi="Times New Roman"/>
          <w:sz w:val="18"/>
          <w:szCs w:val="18"/>
          <w:color w:val="auto"/>
        </w:rPr>
        <w:t>Time and costs incurred between establishment of technological feasibility and the release of software product is not material, and the costs incurred during this period is recorded as R&amp;D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marketing costs are expensed as incurred and are included in selling, general and administrative expenses in the Statement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September 30, 2025 and 2024, these costs were JPY135,972 and JPY29,594,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in accordance with ASC Topic 740, “Income Taxes”, which requires the recognition of deferred tax assets and liabilities for the expected future tax consequences of events that have been included in the financial statements. Under this method, deferred tax assets and liabilities are determined on the differences between the financial statement and tax basis of assets, liabilities and net operating loss by using enacted tax rate in effect for the fiscal year in which the differences are expected to reverse. The effect of a change in tax rate on deferred tax assets and liabilities is recognized in income in the period that includes the enactment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these assets are believed to be more likely than not to be realized. Valuation allowances are established when necessary to reduce deferred tax assets to the amounts that are more likely than not expected to be realized. In making such a determination, all available positive and negative evidence is considered, including future reversals of existing taxable temporary differences, projected future taxable income, tax-planning strategies, and results of recent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tax returns in the tax jurisdictions of Japan. Tax benefits for uncertain tax positions are based upon management’s evaluation of the information available at the reporting date. To be recognized in the financial statements, a tax benefit must be at least more likely than not of being sustained based on technical merits. The benefit for positions meeting the recognition threshold is measured as the largest benefit more likely than not of being realized upon settlement with a taxing authority that has full knowledge of all relevant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Company measures and recognizes compensation expenses for all share-based payment awards made to employees and non-employees, including stock options, restricted stock units (“RSUs”), and other equity-based awards, based on the grant-date fair value of the awards.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share-based awards over the requisite service period, which is generally the vesting period of the awards, using a straight-line method unless the awards contain performance or market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8"/>
          <w:szCs w:val="18"/>
          <w:color w:val="auto"/>
        </w:rPr>
        <w:t>Basic net loss per ordinary share is calculated by dividing the net loss by the weighted-average number of ordinary shares outstanding during the period, without consideration for potentially dilutive securities. Diluted net loss per ordinary share is computed by dividing the net loss by the weighted-average number of ordinary shares outstanding during the period, adjusted for the effect of potentially dilutive securities, if any. Potentially dilutive securities are included in the calculation of diluted net loss per share only when their effect is dilutive. When the Company reports a net loss, all potentially dilutive securities are anti-dilutive and are therefore excluded from the computation of diluted net loss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2"/>
        <w:spacing w:after="0" w:line="261"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spacing w:after="0" w:line="180" w:lineRule="exact"/>
        <w:rPr>
          <w:sz w:val="20"/>
          <w:szCs w:val="20"/>
          <w:color w:val="auto"/>
        </w:rPr>
      </w:pPr>
    </w:p>
    <w:p>
      <w:pPr>
        <w:jc w:val="both"/>
        <w:ind w:firstLine="2"/>
        <w:spacing w:after="0" w:line="282" w:lineRule="auto"/>
        <w:rPr>
          <w:sz w:val="20"/>
          <w:szCs w:val="20"/>
          <w:color w:val="auto"/>
        </w:rPr>
      </w:pPr>
      <w:r>
        <w:rPr>
          <w:rFonts w:ascii="Times New Roman" w:cs="Times New Roman" w:eastAsia="Times New Roman" w:hAnsi="Times New Roman"/>
          <w:sz w:val="18"/>
          <w:szCs w:val="18"/>
          <w:color w:val="auto"/>
        </w:rPr>
        <w:t>The following Accounting Standards Updates (“ASUs”) issued by the FASB may relate to the Company as concerns the Company’s normal ongoing operations or the industry in which the Company operates.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Derivatives and Hedging (ASC 815) and Revenue from Contracts with Customers (ASC 606): Scope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Refinements and Share-Based Noncash Consideration</w:t>
      </w:r>
      <w:r>
        <w:rPr>
          <w:rFonts w:ascii="Times New Roman" w:cs="Times New Roman" w:eastAsia="Times New Roman" w:hAnsi="Times New Roman"/>
          <w:sz w:val="18"/>
          <w:szCs w:val="18"/>
          <w:color w:val="auto"/>
        </w:rPr>
        <w:t>. This ASU clarifies the scope of derivative accounting for certain contracts and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noncash consideration received from customers. The guidance is effective for fiscal years beginning after December 15, 2026, including interim periods. The Company is currently evaluating the impact that adoption of this guidance will have on its financial statements.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This ASU clarifies the interim disclosure requirements and the applicability of Topic 270. The guidance is effective for interim reporting periods within annual reporting periods beginning after December 15, 2027. The Company is currently evaluating the impact that adoption of this guidance will have on its financial statements.</w:t>
      </w:r>
    </w:p>
    <w:p>
      <w:pPr>
        <w:spacing w:after="0" w:line="173" w:lineRule="exact"/>
        <w:rPr>
          <w:sz w:val="20"/>
          <w:szCs w:val="20"/>
          <w:color w:val="auto"/>
        </w:rPr>
      </w:pPr>
    </w:p>
    <w:p>
      <w:pPr>
        <w:jc w:val="both"/>
        <w:ind w:firstLine="2"/>
        <w:spacing w:after="0" w:line="257" w:lineRule="auto"/>
        <w:rPr>
          <w:sz w:val="20"/>
          <w:szCs w:val="20"/>
          <w:color w:val="auto"/>
        </w:rPr>
      </w:pPr>
      <w:r>
        <w:rPr>
          <w:rFonts w:ascii="Times New Roman" w:cs="Times New Roman" w:eastAsia="Times New Roman" w:hAnsi="Times New Roman"/>
          <w:sz w:val="18"/>
          <w:szCs w:val="18"/>
          <w:color w:val="auto"/>
        </w:rPr>
        <w:t xml:space="preserve">In July 30, 2025, the FASB issued ASU No. 2025-05 Financial Instruments - Credit Losses (Topic 326): </w:t>
      </w:r>
      <w:r>
        <w:rPr>
          <w:rFonts w:ascii="Times New Roman" w:cs="Times New Roman" w:eastAsia="Times New Roman" w:hAnsi="Times New Roman"/>
          <w:sz w:val="18"/>
          <w:szCs w:val="18"/>
          <w:i w:val="1"/>
          <w:iCs w:val="1"/>
          <w:color w:val="auto"/>
        </w:rPr>
        <w:t>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ASU provide (1) all entities with a practical expedient and (2) entities other than public business entities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policy election when estimating expected credit losses for current accounts receivable and current contract assets arising from transactions accounted for under Topic 606. The requirements are effective for fiscal years beginning after December 15, 2025, including interim periods within those fiscal years. Early adoption is permitted, and entities should apply the amendments prospectively. The Company is currently evaluating the impact that the adoption of this ASU will have on its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2"/>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Income Statement – Reporting Comprehensive Income – Expense Disaggregation Disclosures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public business entities to disclose, for interim and annual reporting periods, additional information about certain income statement expense categories. The requirements are effective for fiscal years beginning after December 15, 2026, and for interim periods beginning after December 15, 2027. Entities are permitted to apply either the prospective or retrospective transition methods. The Company is currently evaluating the impact that the adoption of this ASU will have on its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March 31, 2025, prepaid expenses and other current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09"/>
        </w:trPr>
        <w:tc>
          <w:tcPr>
            <w:tcW w:w="5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567,552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6,850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2,480</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Consumption taxes paid</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40,730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3,725</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45,923</w:t>
            </w:r>
          </w:p>
        </w:tc>
        <w:tc>
          <w:tcPr>
            <w:tcW w:w="2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656,685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March 31, 2025, property and equipment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0"/>
        </w:trPr>
        <w:tc>
          <w:tcPr>
            <w:tcW w:w="3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r>
      <w:tr>
        <w:trPr>
          <w:trHeight w:val="209"/>
        </w:trPr>
        <w:tc>
          <w:tcPr>
            <w:tcW w:w="3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Fixtures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3,664</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3,664</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Tooling and equipment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7,218</w:t>
            </w:r>
          </w:p>
        </w:tc>
      </w:tr>
      <w:tr>
        <w:trPr>
          <w:trHeight w:val="210"/>
        </w:trPr>
        <w:tc>
          <w:tcPr>
            <w:tcW w:w="37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(4,581)</w:t>
            </w:r>
          </w:p>
        </w:tc>
      </w:tr>
      <w:tr>
        <w:trPr>
          <w:trHeight w:val="223"/>
        </w:trPr>
        <w:tc>
          <w:tcPr>
            <w:tcW w:w="3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recognized depreciation expenses on property and equipment of JPY939 and JPY985 during the six months ended September 30, 2025 and 2024, respectively. The Company records depreciation expenses in selling, general and administrative expenses 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March 31, 2025, intangible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50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10"/>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2,101</w:t>
            </w:r>
          </w:p>
        </w:tc>
        <w:tc>
          <w:tcPr>
            <w:tcW w:w="450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773</w:t>
            </w:r>
          </w:p>
        </w:tc>
        <w:tc>
          <w:tcPr>
            <w:tcW w:w="4500" w:type="dxa"/>
            <w:vAlign w:val="bottom"/>
          </w:tcPr>
          <w:p>
            <w:pPr>
              <w:spacing w:after="0"/>
              <w:rPr>
                <w:sz w:val="18"/>
                <w:szCs w:val="18"/>
                <w:color w:val="auto"/>
              </w:rPr>
            </w:pPr>
          </w:p>
        </w:tc>
      </w:tr>
      <w:tr>
        <w:trPr>
          <w:trHeight w:val="22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 work-in-progress</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4,691</w:t>
            </w:r>
          </w:p>
        </w:tc>
        <w:tc>
          <w:tcPr>
            <w:tcW w:w="4500" w:type="dxa"/>
            <w:vAlign w:val="bottom"/>
          </w:tcPr>
          <w:p>
            <w:pPr>
              <w:spacing w:after="0"/>
              <w:rPr>
                <w:sz w:val="19"/>
                <w:szCs w:val="19"/>
                <w:color w:val="auto"/>
              </w:rPr>
            </w:pPr>
          </w:p>
        </w:tc>
      </w:tr>
      <w:tr>
        <w:trPr>
          <w:trHeight w:val="210"/>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6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3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500" w:type="dxa"/>
            <w:vAlign w:val="bottom"/>
          </w:tcPr>
          <w:p>
            <w:pPr>
              <w:spacing w:after="0"/>
              <w:rPr>
                <w:sz w:val="19"/>
                <w:szCs w:val="19"/>
                <w:color w:val="auto"/>
              </w:rPr>
            </w:pPr>
          </w:p>
        </w:tc>
      </w:tr>
      <w:tr>
        <w:trPr>
          <w:trHeight w:val="22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6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13"/>
        </w:trPr>
        <w:tc>
          <w:tcPr>
            <w:tcW w:w="4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F-13</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The Company recognized amortization expenses on intangible assets of JPY111 and JPY119 during the six months ended September 30, 2025 and 2024, respectively. The Company records amortization expenses in selling, general and administrative expenses 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an operating lease for office space. As of September 30, 2025 and March 31, 2025, the following amounts were recorded on the Balance Sheets relating to the Company’s operating lease.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09"/>
        </w:trPr>
        <w:tc>
          <w:tcPr>
            <w:tcW w:w="4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r>
      <w:tr>
        <w:trPr>
          <w:trHeight w:val="210"/>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11,379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operating lease liabilities as of September 30, 2025:</w:t>
      </w:r>
    </w:p>
    <w:p>
      <w:pPr>
        <w:sectPr>
          <w:pgSz w:w="11900" w:h="16838" w:orient="portrait"/>
          <w:cols w:equalWidth="0" w:num="1">
            <w:col w:w="11240"/>
          </w:cols>
          <w:pgMar w:left="320" w:top="688"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ending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2030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amounts representing interest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value of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589" w:hanging="589"/>
        <w:spacing w:after="0"/>
        <w:tabs>
          <w:tab w:leader="none" w:pos="5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3,630</w:t>
      </w:r>
    </w:p>
    <w:p>
      <w:pPr>
        <w:spacing w:after="0" w:line="27" w:lineRule="exact"/>
        <w:rPr>
          <w:rFonts w:ascii="Times New Roman" w:cs="Times New Roman" w:eastAsia="Times New Roman" w:hAnsi="Times New Roman"/>
          <w:sz w:val="18"/>
          <w:szCs w:val="18"/>
          <w:color w:val="auto"/>
        </w:rPr>
      </w:pPr>
    </w:p>
    <w:p>
      <w:pPr>
        <w:ind w:left="5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7,259</w:t>
      </w:r>
    </w:p>
    <w:p>
      <w:pPr>
        <w:spacing w:after="0" w:line="9" w:lineRule="exact"/>
        <w:rPr>
          <w:rFonts w:ascii="Times New Roman" w:cs="Times New Roman" w:eastAsia="Times New Roman" w:hAnsi="Times New Roman"/>
          <w:sz w:val="18"/>
          <w:szCs w:val="18"/>
          <w:color w:val="auto"/>
        </w:rPr>
      </w:pPr>
    </w:p>
    <w:p>
      <w:pPr>
        <w:ind w:left="7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455</w:t>
      </w:r>
    </w:p>
    <w:p>
      <w:pPr>
        <w:spacing w:after="0" w:line="9" w:lineRule="exact"/>
        <w:rPr>
          <w:rFonts w:ascii="Times New Roman" w:cs="Times New Roman" w:eastAsia="Times New Roman" w:hAnsi="Times New Roman"/>
          <w:sz w:val="18"/>
          <w:szCs w:val="18"/>
          <w:color w:val="auto"/>
        </w:rPr>
      </w:pPr>
    </w:p>
    <w:p>
      <w:pPr>
        <w:ind w:left="7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w:t>
      </w:r>
    </w:p>
    <w:p>
      <w:pPr>
        <w:spacing w:after="0" w:line="9" w:lineRule="exact"/>
        <w:rPr>
          <w:rFonts w:ascii="Times New Roman" w:cs="Times New Roman" w:eastAsia="Times New Roman" w:hAnsi="Times New Roman"/>
          <w:sz w:val="18"/>
          <w:szCs w:val="18"/>
          <w:color w:val="auto"/>
        </w:rPr>
      </w:pPr>
    </w:p>
    <w:p>
      <w:pPr>
        <w:ind w:left="8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61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3"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8"/>
          <w:szCs w:val="18"/>
          <w:color w:val="auto"/>
        </w:rPr>
        <w:t>11,524</w:t>
      </w:r>
    </w:p>
    <w:p>
      <w:pPr>
        <w:spacing w:after="0" w:line="23" w:lineRule="exact"/>
        <w:rPr>
          <w:sz w:val="20"/>
          <w:szCs w:val="20"/>
          <w:color w:val="auto"/>
        </w:rPr>
      </w:pPr>
    </w:p>
    <w:p>
      <w:pPr>
        <w:jc w:val="right"/>
        <w:ind w:right="562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61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3"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8"/>
          <w:szCs w:val="18"/>
          <w:color w:val="auto"/>
        </w:rPr>
        <w:t>11,379</w:t>
      </w:r>
    </w:p>
    <w:p>
      <w:pPr>
        <w:spacing w:after="0" w:line="23" w:lineRule="exact"/>
        <w:rPr>
          <w:sz w:val="20"/>
          <w:szCs w:val="20"/>
          <w:color w:val="auto"/>
        </w:rPr>
      </w:pPr>
    </w:p>
    <w:p>
      <w:pPr>
        <w:jc w:val="right"/>
        <w:ind w:right="5620"/>
        <w:spacing w:after="0"/>
        <w:rPr>
          <w:sz w:val="20"/>
          <w:szCs w:val="20"/>
          <w:color w:val="auto"/>
        </w:rPr>
      </w:pPr>
      <w:r>
        <w:rPr>
          <w:rFonts w:ascii="Times New Roman" w:cs="Times New Roman" w:eastAsia="Times New Roman" w:hAnsi="Times New Roman"/>
          <w:sz w:val="18"/>
          <w:szCs w:val="18"/>
          <w:color w:val="auto"/>
        </w:rPr>
        <w:t>(7,140)</w:t>
      </w:r>
    </w:p>
    <w:p>
      <w:pPr>
        <w:spacing w:after="0" w:line="9" w:lineRule="exact"/>
        <w:rPr>
          <w:sz w:val="20"/>
          <w:szCs w:val="20"/>
          <w:color w:val="auto"/>
        </w:rPr>
      </w:pPr>
    </w:p>
    <w:p>
      <w:pPr>
        <w:ind w:left="589" w:hanging="589"/>
        <w:spacing w:after="0"/>
        <w:tabs>
          <w:tab w:leader="none" w:pos="5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61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51" w:space="720"/>
            <w:col w:w="6669"/>
          </w:cols>
          <w:pgMar w:left="320" w:top="688"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information regarding the Company’s operating leases as of September 30, 2025 and March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10"/>
        </w:trPr>
        <w:tc>
          <w:tcPr>
            <w:tcW w:w="40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3,495</w:t>
            </w: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the operating lease liability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3,586</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significant sublease income or variable lease costs for the six months ended September 30, 2025 and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7. Other Payables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March 31, 2025, other payables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09"/>
        </w:trPr>
        <w:tc>
          <w:tcPr>
            <w:tcW w:w="4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r>
      <w:tr>
        <w:trPr>
          <w:trHeight w:val="210"/>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Outsourcing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11,462</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9,912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costs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4,596</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880</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8,180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withholding</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3,110</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Compensations</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11,925</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16,070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tax payable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3,919</w:t>
            </w: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18,225</w:t>
            </w: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10,779</w:t>
            </w:r>
          </w:p>
        </w:tc>
      </w:tr>
      <w:tr>
        <w:trPr>
          <w:trHeight w:val="223"/>
        </w:trPr>
        <w:tc>
          <w:tcPr>
            <w:tcW w:w="4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payables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commitments under certain purchase or guarantee arrangements as of September 30, 2025 and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There were no such material matters as of and for the six months ended September 30, 2025 and 2024 except for the following.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14, 2023, the Company was served with a complaint by ZESTO Consulting LLC demanding unpaid system development fees of JPY21,770. In the fiscal year ended March 31, 2023, the Company recognized the total JPY22,470 related to the lawsuit in research and development costs in the Statements of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13, 2024, the Tokyo District Court ruled against the Company, holding the Company liable for unpaid service fees totaling JPY19,470, with interest accruing at a rate of 3% per annum. The Company subsequently filed an appeal against this decision.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17, 2025, the appellate court issued a judgment requiring the Company to pay JPY20,394, including additional amounts not awarded in the initial judgment, plus interest. Interest is calculated at rates of 3% and 14.6% per annum on specified portions of the judgment.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currently in the process of pursuing further legal remedies, including filing an appeal of the appellate court judgment in January 2026. While the Company intends to continue with its appeal process, based on the currently available information, management has concluded that the potential loss associated with this matter is reasonably estimable. Accordingly, the Company has recognized the estimated obligation in its financial statements should the appeal fail. For the six months ended September 30, 2025, the Company recognized an additional loss of JPY924 and interest expense of JPY7,015 related to this matter. The total amount accrued related to this matter as of September 30, 2025 was JPY27,409 and is included in accrued expense in the Balance Sheet.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2025, the Company was served with a complaint by FOOT PRINT Co., Ltd. demanding unpaid service fees under an advertising services agreement of JPY1,197. Subsequently, the Company entered into a court-mediated settlement agreement on February 3, 2026. Pursuant to the settlement, the Company agreed to pay approximately JPY1,131 in full. Upon payment in February 2026, the parties agreed to withdraw all related claims and no further obligations remain between them. As of the date of this report, there is no outstanding balance related to this matter.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customarily includes standard indemnification provisions in its arrangements with third parties. As of the date of this prospectus, the Company has not paid any material claims or been required to defend any material actions related to its indemnification obligations. However, the Company may be subject to such claims and/or actions in the future as a result of these indemnification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Net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w:t>
      </w:r>
    </w:p>
    <w:p>
      <w:pPr>
        <w:spacing w:after="0" w:line="235"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19685</wp:posOffset>
            </wp:positionV>
            <wp:extent cx="2099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79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19685</wp:posOffset>
            </wp:positionV>
            <wp:extent cx="20999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1" w:lineRule="exact"/>
        <w:rPr>
          <w:sz w:val="20"/>
          <w:szCs w:val="20"/>
          <w:color w:val="auto"/>
        </w:rPr>
      </w:pPr>
    </w:p>
    <w:p>
      <w:pPr>
        <w:ind w:left="5900"/>
        <w:spacing w:after="0"/>
        <w:tabs>
          <w:tab w:leader="none" w:pos="7360" w:val="left"/>
        </w:tabs>
        <w:rPr>
          <w:sz w:val="20"/>
          <w:szCs w:val="20"/>
          <w:color w:val="auto"/>
        </w:rPr>
      </w:pPr>
      <w:r>
        <w:rPr>
          <w:rFonts w:ascii="Times New Roman" w:cs="Times New Roman" w:eastAsia="Times New Roman" w:hAnsi="Times New Roman"/>
          <w:sz w:val="18"/>
          <w:szCs w:val="18"/>
          <w:b w:val="1"/>
          <w:bCs w:val="1"/>
          <w:color w:val="auto"/>
        </w:rPr>
        <w:t>(unaudited)</w:t>
      </w:r>
      <w:r>
        <w:rPr>
          <w:sz w:val="20"/>
          <w:szCs w:val="20"/>
          <w:color w:val="auto"/>
        </w:rPr>
        <w:tab/>
      </w: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ind w:right="1537"/>
        <w:spacing w:after="0" w:line="307" w:lineRule="auto"/>
        <w:rPr>
          <w:sz w:val="20"/>
          <w:szCs w:val="20"/>
          <w:color w:val="auto"/>
        </w:rPr>
      </w:pPr>
      <w:r>
        <w:rPr>
          <w:rFonts w:ascii="Times New Roman" w:cs="Times New Roman" w:eastAsia="Times New Roman" w:hAnsi="Times New Roman"/>
          <w:sz w:val="18"/>
          <w:szCs w:val="18"/>
          <w:color w:val="auto"/>
        </w:rPr>
        <w:t>Weighted average ordinary shares outstanding Basic and diluted net loss per ordinary share</w:t>
      </w:r>
    </w:p>
    <w:p>
      <w:pPr>
        <w:spacing w:after="0" w:line="204" w:lineRule="exact"/>
        <w:rPr>
          <w:sz w:val="20"/>
          <w:szCs w:val="20"/>
          <w:color w:val="auto"/>
        </w:rPr>
      </w:pPr>
    </w:p>
    <w:p>
      <w:pPr>
        <w:ind w:right="2277" w:firstLine="8"/>
        <w:spacing w:after="0" w:line="503"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Equity/(Deficit)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883" w:hanging="883"/>
        <w:spacing w:after="0"/>
        <w:tabs>
          <w:tab w:leader="none" w:pos="88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(677,602)</w:t>
      </w:r>
    </w:p>
    <w:p>
      <w:pPr>
        <w:spacing w:after="0" w:line="47" w:lineRule="exact"/>
        <w:rPr>
          <w:rFonts w:ascii="Times New Roman" w:cs="Times New Roman" w:eastAsia="Times New Roman" w:hAnsi="Times New Roman"/>
          <w:sz w:val="17"/>
          <w:szCs w:val="17"/>
          <w:color w:val="auto"/>
        </w:rPr>
      </w:pPr>
    </w:p>
    <w:p>
      <w:pPr>
        <w:ind w:left="72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43,775,934</w:t>
      </w:r>
    </w:p>
    <w:p>
      <w:pPr>
        <w:spacing w:after="0" w:line="27" w:lineRule="exact"/>
        <w:rPr>
          <w:rFonts w:ascii="Times New Roman" w:cs="Times New Roman" w:eastAsia="Times New Roman" w:hAnsi="Times New Roman"/>
          <w:sz w:val="17"/>
          <w:szCs w:val="17"/>
          <w:color w:val="auto"/>
        </w:rPr>
      </w:pPr>
    </w:p>
    <w:p>
      <w:pPr>
        <w:ind w:left="1143" w:hanging="1143"/>
        <w:spacing w:after="0"/>
        <w:tabs>
          <w:tab w:leader="none" w:pos="11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9683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48895</wp:posOffset>
            </wp:positionV>
            <wp:extent cx="968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-113665</wp:posOffset>
            </wp:positionV>
            <wp:extent cx="9683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881" w:hanging="881"/>
        <w:spacing w:after="0"/>
        <w:tabs>
          <w:tab w:leader="none" w:pos="88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(277,671)</w:t>
      </w:r>
    </w:p>
    <w:p>
      <w:pPr>
        <w:spacing w:after="0" w:line="47" w:lineRule="exact"/>
        <w:rPr>
          <w:rFonts w:ascii="Times New Roman" w:cs="Times New Roman" w:eastAsia="Times New Roman" w:hAnsi="Times New Roman"/>
          <w:sz w:val="17"/>
          <w:szCs w:val="17"/>
          <w:color w:val="auto"/>
        </w:rPr>
      </w:pPr>
    </w:p>
    <w:p>
      <w:pPr>
        <w:ind w:left="72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42,210,000</w:t>
      </w:r>
    </w:p>
    <w:p>
      <w:pPr>
        <w:spacing w:after="0" w:line="27" w:lineRule="exact"/>
        <w:rPr>
          <w:rFonts w:ascii="Times New Roman" w:cs="Times New Roman" w:eastAsia="Times New Roman" w:hAnsi="Times New Roman"/>
          <w:sz w:val="17"/>
          <w:szCs w:val="17"/>
          <w:color w:val="auto"/>
        </w:rPr>
      </w:pPr>
    </w:p>
    <w:p>
      <w:pPr>
        <w:ind w:left="1241" w:hanging="1241"/>
        <w:spacing w:after="0"/>
        <w:tabs>
          <w:tab w:leader="none" w:pos="124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968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9683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968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63" w:lineRule="exact"/>
        <w:rPr>
          <w:sz w:val="20"/>
          <w:szCs w:val="20"/>
          <w:color w:val="auto"/>
        </w:rPr>
      </w:pPr>
    </w:p>
    <w:p>
      <w:pPr>
        <w:sectPr>
          <w:pgSz w:w="11900" w:h="16838" w:orient="portrait"/>
          <w:cols w:equalWidth="0" w:num="3">
            <w:col w:w="4877" w:space="720"/>
            <w:col w:w="1583" w:space="199"/>
            <w:col w:w="3861"/>
          </w:cols>
          <w:pgMar w:left="320" w:top="684" w:right="339" w:bottom="1440" w:gutter="0" w:footer="0" w:header="0"/>
          <w:type w:val="continuous"/>
        </w:sect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168,000,000 ordinary shares authorized. Each holder of ordinary shares shall be entitled to one vote for each share held as of the record date and shall be entitled to receive dividends, when, as and if declared by the shareholders or the Board of Directors. The total ordinary shares issued and outstanding as of September 30, 2025 was 45,960,000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7, 2025, the Company’s board of directors approved the change in the number of ordinary shares authorized. As a result, the number of shares authorized became 168,000,000. On the same date, the Company’s board of directors approved a sub-division of the ordinary shares issued and outstanding at a ratio of 1:6, which became effective on January 7, 2025. The Company believes it is appropriate to reflect the above transactions on a retroactive basis in accordance with ASC 260. All references made to share or per share amounts herein have been retroactively adjusted to reflect the 1:6 sub-division.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18, 2025, the Company completed its IPO of 3,750,000 ordinary shares at a public offering price of $4.00 per share. The net proceeds to the Company from the IPO, after deducting underwriting discounts and offering expenses payable by the Company, were approximately JPY1,521,213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tables below reflect revenue by major source s for the six months ended September 30, 2025 and 2024. The Company had no revenue derived from geographical regions outside of Japan during the six months ended September 30, 2025 and 2024. All revenue during the six months ended September 30, 2025 and 2024 was recognized when the performance obligation was satisfied over time.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7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23"/>
        </w:trPr>
        <w:tc>
          <w:tcPr>
            <w:tcW w:w="4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r>
      <w:tr>
        <w:trPr>
          <w:trHeight w:val="210"/>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Software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97,199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63,597</w:t>
            </w: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Support Services</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157,023</w:t>
            </w: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290,411</w:t>
            </w:r>
          </w:p>
        </w:tc>
      </w:tr>
      <w:tr>
        <w:trPr>
          <w:trHeight w:val="223"/>
        </w:trPr>
        <w:tc>
          <w:tcPr>
            <w:tcW w:w="4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September 30, 2025 and 2024, revenue from consulting and support services was primarily generated from provision of e-learning and software installation support services.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deferred revenue during the six months ended September 30, 2025 and the fiscal year ended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r>
      <w:tr>
        <w:trPr>
          <w:trHeight w:val="238"/>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09"/>
        </w:trPr>
        <w:tc>
          <w:tcPr>
            <w:tcW w:w="6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764,933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399,413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end of period</w:t>
            </w:r>
          </w:p>
        </w:tc>
        <w:tc>
          <w:tcPr>
            <w:tcW w:w="1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764,933</w:t>
            </w:r>
          </w:p>
        </w:tc>
      </w:tr>
      <w:tr>
        <w:trPr>
          <w:trHeight w:val="216"/>
        </w:trPr>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222,849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93,870</w:t>
            </w: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September 30, 2025 and March 31, 2025, deferred revenue represents the Company’s remaining performance obligations to provide software, e-learning and software installation support services for which consideration has been received.</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September 30, 2025 and March 31, 2025, revenue of JPY882,983 and JPY764,933, respectively, is expected to be recognized from remaining performance obligations for customer contracts. As of September 30, 2025 and March 31, 2025, the Company expects to recognize revenue of JPY444,955 and JPY351,937, respectively, of these remaining performance obligations over the next 12 months, with the remaining balance to be recognized thereafter.</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Cost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Cost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reflects cost of revenue by major source for the six months ended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4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9"/>
                <w:szCs w:val="19"/>
                <w:color w:val="auto"/>
              </w:rPr>
            </w:pPr>
          </w:p>
        </w:tc>
      </w:tr>
      <w:tr>
        <w:trPr>
          <w:trHeight w:val="210"/>
        </w:trPr>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Software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Support Services</w:t>
            </w: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4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6, 2024 , the Company’s Board of Directors approved the issuance of stock options. On February 7, 2024, stock options to purchase an aggregate of 2,268,000 ordinary shares at an exercise price of JPY200 per ordinary share were granted to certain individuals who were the Company’s directors, employees and consultants. The options vested upon the successful completion of IPO. The options are exercisable only after February 7, 2026 and have a contractual term of eight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the stock options as of the grant date was JPY72</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 was estimated using the Black-Scholes option-pricing model. The following table</w:t>
            </w:r>
          </w:p>
        </w:tc>
      </w:tr>
      <w:tr>
        <w:trPr>
          <w:trHeight w:val="234"/>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summarizes the significant assumptions used to estimate the fair value of the stock options.</w:t>
            </w:r>
          </w:p>
        </w:tc>
      </w:tr>
      <w:tr>
        <w:trPr>
          <w:trHeight w:val="216"/>
        </w:trPr>
        <w:tc>
          <w:tcPr>
            <w:tcW w:w="490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6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6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414"/>
        </w:trPr>
        <w:tc>
          <w:tcPr>
            <w:tcW w:w="490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jc w:val="right"/>
              <w:ind w:right="5350"/>
              <w:spacing w:after="0"/>
              <w:rPr>
                <w:sz w:val="20"/>
                <w:szCs w:val="20"/>
                <w:color w:val="auto"/>
              </w:rPr>
            </w:pPr>
            <w:r>
              <w:rPr>
                <w:rFonts w:ascii="Times New Roman" w:cs="Times New Roman" w:eastAsia="Times New Roman" w:hAnsi="Times New Roman"/>
                <w:sz w:val="18"/>
                <w:szCs w:val="18"/>
                <w:color w:val="auto"/>
              </w:rPr>
              <w:t>F-17</w:t>
            </w:r>
          </w:p>
        </w:tc>
      </w:tr>
    </w:tbl>
    <w:p>
      <w:pPr>
        <w:sectPr>
          <w:pgSz w:w="11900" w:h="16838" w:orient="portrait"/>
          <w:cols w:equalWidth="0" w:num="1">
            <w:col w:w="11240"/>
          </w:cols>
          <w:pgMar w:left="320" w:top="688"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Upon completion of its IPO in July 2025, the Company recognized share-based compensation expenses of JPY16,368. Share-based compensation expenses are included in the selling, general and administrative expenses in the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8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Vested options</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per Option</w:t>
            </w:r>
          </w:p>
        </w:tc>
        <w:tc>
          <w:tcPr>
            <w:tcW w:w="180" w:type="dxa"/>
            <w:vAlign w:val="bottom"/>
          </w:tcPr>
          <w:p>
            <w:pPr>
              <w:spacing w:after="0"/>
              <w:rPr>
                <w:sz w:val="20"/>
                <w:szCs w:val="20"/>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April 1, 2025</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226,800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September 30,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for non-vested stock options: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16"/>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Fair Value per</w:t>
            </w:r>
          </w:p>
        </w:tc>
      </w:tr>
      <w:tr>
        <w:trPr>
          <w:trHeight w:val="238"/>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Non-vested options</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April 1, 2025</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226,800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40" w:type="dxa"/>
            <w:vAlign w:val="bottom"/>
            <w:tcBorders>
              <w:top w:val="single" w:sz="8" w:color="CCEEFF"/>
            </w:tcBorders>
            <w:shd w:val="clear" w:color="auto" w:fill="CCEEFF"/>
          </w:tcPr>
          <w:p>
            <w:pPr>
              <w:spacing w:after="0"/>
              <w:rPr>
                <w:sz w:val="18"/>
                <w:szCs w:val="18"/>
                <w:color w:val="auto"/>
              </w:rPr>
            </w:pPr>
          </w:p>
        </w:tc>
      </w:tr>
      <w:tr>
        <w:trPr>
          <w:trHeight w:val="229"/>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(226,800)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w:t>
            </w:r>
          </w:p>
        </w:tc>
      </w:tr>
      <w:tr>
        <w:trPr>
          <w:trHeight w:val="223"/>
        </w:trPr>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Consulting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24, 2023, the Company entered into a consulting and services agreement with Spirit Advisors, LLC. (“Spirit Advisors”) pursuant to which it agreed to compensate Spirit Advisors with cash consideration of US$320,000 and common share purchase warrants (the “Spirit Warrants”) in exchange for professional services to be provided by Spirit Advisors in connection with the IPO. Pursuant to the Spirit Warrants, Spirit Advisors could purchase 3% of the issued and outstanding ordinary shares as of the date of the Spirit Warrants’ issuance, which amount was to be automatically adjusted to 3% of the fully diluted number of ordinary shares on the date the Company completed the IPO. The exercise price per share was US$0.01, subject to adjustment as provided in the Spirit Warrants. The Spirit Warrants were only exercisable upon the successful completion of the IPO, and would be substituted in kind with stock acquisition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18, 2024, pursuant to a side letter agreement between the Company and Spirit Advisors, LLC, the Spirit Warrants were cancelled.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March 31, 2025 and during the six months ended September 30, 2025 and 2024, the Company had no transactions or balances with related parties, except for compensation paid to its directors for services rendered in the normal course of business. Compensation for directors is determined by the Board of Directors and/or shareholders in accordance with the Company’s Articles of Incorporation. Total compensation paid to the directors during the six months ended September 30, 2025 and 2024 was JPY24,860 and JPY25,774,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after the balance sheet date through March 30, 2026, the date the financial statements were available for issuance. Management has determined that no significant events or transactions have occurred subsequent to the balance sheet date other than the events disclosed below that require both recognition and disclosure in the financial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26, 2025, the Company was served with a complaint by FOOT PRINT Co., Ltd. demanding unpaid service fees under an advertising services agreement of JPY1,197. Management evaluated the matter as of September 30, 2025 and determined that the potential obligation was not material to the Company’s financial position or results of operations. Accordingly, no accrual was recorded in the financial statements for the 6-month period ended September 30, 2025. Subsequently, the Company entered into a court-mediated settlement agreement on February 3, 2026. Pursuant to the settlement, the Company agreed to pay approximately JPY1,131 in full. Upon payment in February 2026, the parties agreed to withdraw all related claims and no further obligations remain between them. As of the date of this report, there is no outstanding balance related to this matter.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trading in the Company’s common stock on The Nasdaq Stock Market was temporarily suspended by the SEC. The suspension was initiated due to concerns regarding potential manipulation of the Company’s securities through recommendations made to investors by unknown third parties via social media. The Company is actively working to address the matters that led to the suspension and to satisfy the requirements for resumption of trading. As of the date of this report, trading of the Company’s securities remains suspended, and there can be no assurance as to when or if trading will resume.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2026-03-30T15:08:51Z</dcterms:created>
  <dcterms:modified xsi:type="dcterms:W3CDTF">2026-03-30T15:08:51Z</dcterms:modified>
</cp:coreProperties>
</file>