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June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001-42740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Robot Consulting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Gratteciel Building 2, 6th Floor</w:t>
        <w:br/>
        <w:t>5-22-6 Shimbashi, Minato Ward</w:t>
        <w:br/>
        <w:t>Tokyo, 105-0004</w:t>
        <w:b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100"/>
        <w:gridCol w:w="60"/>
        <w:gridCol w:w="1100"/>
      </w:tblGrid>
      <w:tr>
        <w:trPr/>
        <w:tc>
          <w:tcPr>
            <w:tcW w:w="11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Convocation of Annual General Meeting of Shareholders of Robot Consulting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rules and regulations of the Japanese Companies Act, Robot Consulting Co., Ltd. (the “Company”) has caused a notice and accompanying information, including voting instructions, to be sent to all holders of its ordinary shares and American Depositary Shares (“ADSs”) with respect to its annual general meeting to be held in Tokyo, Japan on June 26, 2026 at 10:00 a.m., Japanese Standard Time. Complete copies of the notice and the form of proxy card for ADS holders are attached as Exhibits 99.1 and 99.2,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99.1 and 99.2 furnished hereto shall not be deemed to be “filed” for the purposes of Section 18 of the Securities Exchange Act of 1934, as amended, or otherwise subject to the liabilities of that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notice included herewith includes the business report and unaudited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for the Company’s 6</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fiscal year (from April 1, 2025 to March 31, 2026). Accounting treatment of the business report and financial statements are based on accounting principles generally accepted in the U.S., while the disclosure line items have been reclassified in accordance with accounting principles generally accepted in Japan. The final audit by the independent auditor of such financial figures prepared in accordance with U.S. GAAP for the fiscal year ended March 31, 2026 has not been completed. The Company strongly encourages investors to review the audited financial statements for the fiscal year ended March 31, 2026 in its annual report on Form 20-F to be subsequently filed pursuant to section 13 or 15(d) of the Securities Exchange Act of 1934, as amended.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5500" w:type="dxa"/>
        <w:jc w:val="left"/>
        <w:tblInd w:w="0" w:type="dxa"/>
        <w:tblLayout w:type="fixed"/>
        <w:tblCellMar>
          <w:top w:w="0" w:type="dxa"/>
          <w:left w:w="0" w:type="dxa"/>
          <w:bottom w:w="28" w:type="dxa"/>
          <w:right w:w="0" w:type="dxa"/>
        </w:tblCellMar>
      </w:tblPr>
      <w:tblGrid>
        <w:gridCol w:w="995"/>
        <w:gridCol w:w="60"/>
        <w:gridCol w:w="444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45"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Notice of the Annual General Meeting of Shareholders</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45" w:type="dxa"/>
            <w:tcBorders/>
            <w:shd w:fill="FFFFFF" w:val="clear"/>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Form of Proxy Card for ADS holders</w:t>
              </w:r>
            </w:hyperlink>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320"/>
        <w:gridCol w:w="31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Robot Consulting Co.,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Hidetoshi Yokoyama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Hidetoshi Yokoyama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 and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18,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10,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6F Le Gratteciel Bldg. 2, 5-22-6 Shimbashi,</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Minato-ku, Tokyo, Japan</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Robot Consulting Co., Ltd.</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Hidetoshi Yokoyama</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CONVOCATION OF THE 6TH ANNUAL GENERAL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thank you for your continued support and patronage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notify you that the 6th Annual General Meeting of Shareholders of Robot Consulting Co., Ltd. will be held as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 yours,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Particulars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Date and Time: </w:t>
      </w:r>
      <w:r>
        <w:rPr>
          <w:rFonts w:ascii="Times New Roman;Times;Serif" w:hAnsi="Times New Roman;Times;Serif"/>
          <w:b w:val="false"/>
          <w:i w:val="false"/>
          <w:caps w:val="false"/>
          <w:smallCaps w:val="false"/>
          <w:sz w:val="20"/>
        </w:rPr>
        <w:t>Friday, June 26, 2026, at 10:00 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Venue: </w:t>
      </w:r>
      <w:r>
        <w:rPr>
          <w:rFonts w:ascii="Times New Roman;Times;Serif" w:hAnsi="Times New Roman;Times;Serif"/>
          <w:b w:val="false"/>
          <w:i w:val="false"/>
          <w:caps w:val="false"/>
          <w:smallCaps w:val="false"/>
          <w:sz w:val="20"/>
        </w:rPr>
        <w:t>Head Office of Robot Consulting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Conference Room, 6F Le Gratteciel Bldg. 2, 5-22-6 Shimbashi, Minato-ku, Tokyo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Agenda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Matters to be Reported: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No. 1: The Business Report for the 6th fiscal year (from April 1, 2025 to March 31,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Matters to be Resolved: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1: Approval of the Financial Statements for the 6th fiscal year (from April 1, 2025 to March 31,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Election of one (1) Statutory Auditor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Reduction of the amounts of Stated Capital and Capital Reserve, and Disposition of Surplus (Appropriation for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Partial Amendment to the Articles of Incorporation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each proposal are set forth in the “Reference Documents for the General Meeting of Shareholders” attached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In connection with our listing on Nasdaq, accounting treatment is based on U.S. GAAP, while the disclosure line items have been reclassified in accordance with Japanese GAAP. The audit by the independent auditor of the financial figures included in the Business Report and Financial Statements for the fiscal year ended March 31, 2026 has not been completed due to the timing of the U.S. audit period. For audited figures for the fiscal year ended March 31, 2026, please refer to forthcoming public disclosures.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 Provided)</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April 1, 2025 to 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Status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Business Conditions during the Current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① </w:t>
      </w:r>
      <w:r>
        <w:rPr>
          <w:rFonts w:ascii="Times New Roman;Times;Serif" w:hAnsi="Times New Roman;Times;Serif"/>
          <w:b/>
          <w:i w:val="false"/>
          <w:caps w:val="false"/>
          <w:smallCaps w:val="false"/>
          <w:sz w:val="20"/>
        </w:rPr>
        <w:t>Progress and Results of Business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under review, the Japanese economy showed a gradual recovery trend, with improvements observed in employment and income conditions, as well as in capital investment. However, the outlook remained uncertain due to prolonged geopolitical risks, including the situations in Ukraine and the Middle East, the impact of U.S. policy developments, rising energy and raw material prices, and price increases resulting from foreign exchange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circumstances, the Company continued to focus on the sale of software and e-learning services, as in the previous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net sales for the fiscal year under review amounted to ¥631,198 thousand (a decrease of 6.6% year-on-year). Selling, general and administrative expenses increased due to costs related to the Nasdaq listing, legal fees and various outsourcing expenses in response to the trading suspension on the Nasdaq market, advertising expenses, and various consulting fees, resulting in an operating loss of ¥1,464,659 thousand, an ordinary loss of ¥1,494,793 thousand (compared with a loss of ¥534,685 thousand in the previous fiscal year), and a net loss of ¥1,494,793 thousand (compared with a loss of ¥534,685 thousand in the previous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② </w:t>
      </w:r>
      <w:r>
        <w:rPr>
          <w:rFonts w:ascii="Times New Roman;Times;Serif" w:hAnsi="Times New Roman;Times;Serif"/>
          <w:b/>
          <w:i w:val="false"/>
          <w:caps w:val="false"/>
          <w:smallCaps w:val="false"/>
          <w:sz w:val="20"/>
        </w:rPr>
        <w:t>Capital Investment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made investments in software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③ </w:t>
      </w:r>
      <w:r>
        <w:rPr>
          <w:rFonts w:ascii="Times New Roman;Times;Serif" w:hAnsi="Times New Roman;Times;Serif"/>
          <w:b/>
          <w:i w:val="false"/>
          <w:caps w:val="false"/>
          <w:smallCaps w:val="false"/>
          <w:sz w:val="20"/>
        </w:rPr>
        <w:t>Financing Activities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Status of Assets and Profits/Losses for the Past Three Fiscal Years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36"/>
        <w:gridCol w:w="60"/>
        <w:gridCol w:w="1048"/>
        <w:gridCol w:w="60"/>
        <w:gridCol w:w="112"/>
        <w:gridCol w:w="1594"/>
        <w:gridCol w:w="60"/>
        <w:gridCol w:w="60"/>
        <w:gridCol w:w="112"/>
        <w:gridCol w:w="1586"/>
        <w:gridCol w:w="60"/>
        <w:gridCol w:w="60"/>
        <w:gridCol w:w="112"/>
        <w:gridCol w:w="1586"/>
        <w:gridCol w:w="60"/>
        <w:gridCol w:w="60"/>
        <w:gridCol w:w="125"/>
        <w:gridCol w:w="2034"/>
        <w:gridCol w:w="80"/>
      </w:tblGrid>
      <w:tr>
        <w:trPr/>
        <w:tc>
          <w:tcPr>
            <w:tcW w:w="1336"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Category</w:t>
            </w:r>
          </w:p>
        </w:tc>
        <w:tc>
          <w:tcPr>
            <w:tcW w:w="60" w:type="dxa"/>
            <w:tcBorders/>
            <w:tcMar>
              <w:bottom w:w="0" w:type="dxa"/>
            </w:tcMar>
            <w:vAlign w:val="center"/>
          </w:tcPr>
          <w:p>
            <w:pPr>
              <w:pStyle w:val="TableContents"/>
              <w:bidi w:val="0"/>
              <w:spacing w:before="0" w:after="283"/>
              <w:jc w:val="left"/>
              <w:rPr/>
            </w:pPr>
            <w:r>
              <w:rPr/>
              <w:t> </w:t>
            </w:r>
          </w:p>
        </w:tc>
        <w:tc>
          <w:tcPr>
            <w:tcW w:w="10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6"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3rd Fiscal Year (FY ended Mar 2023)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98"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4th Fiscal Year (FY ended Mar 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98"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5th Fiscal Year (FY ended Mar 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59"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6th Fiscal Year (Current FY) (FY ended Mar 2026)</w:t>
            </w:r>
          </w:p>
        </w:tc>
        <w:tc>
          <w:tcPr>
            <w:tcW w:w="80" w:type="dxa"/>
            <w:tcBorders/>
            <w:tcMar>
              <w:bottom w:w="0" w:type="dxa"/>
            </w:tcMar>
            <w:vAlign w:val="center"/>
          </w:tcPr>
          <w:p>
            <w:pPr>
              <w:pStyle w:val="TableContents"/>
              <w:bidi w:val="0"/>
              <w:spacing w:before="0" w:after="283"/>
              <w:jc w:val="left"/>
              <w:rPr/>
            </w:pPr>
            <w:r>
              <w:rPr/>
              <w:t> </w:t>
            </w:r>
          </w:p>
        </w:tc>
      </w:tr>
      <w:tr>
        <w:trPr/>
        <w:tc>
          <w:tcPr>
            <w:tcW w:w="13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(JPY thousand)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59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83,597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5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5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675,561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20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631,198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33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Loss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(JPY thousand)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594"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478,633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586"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661,966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586"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534,685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2034"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1,494,793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3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(JPY thousand)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594" w:type="dxa"/>
            <w:tcBorders/>
            <w:shd w:fill="CCEE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478,633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586" w:type="dxa"/>
            <w:tcBorders/>
            <w:shd w:fill="CCEE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661,966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586" w:type="dxa"/>
            <w:tcBorders/>
            <w:shd w:fill="CCEE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534,685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2034" w:type="dxa"/>
            <w:tcBorders/>
            <w:shd w:fill="CCEE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1,494,793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33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(JPY)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594"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12.31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586"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16.10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586"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12.70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2034"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34.15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3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(JPY thousand)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59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633,749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5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743,545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5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313,972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20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876,573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33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(JPY thousand)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59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176,832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586"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116,699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586"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651,385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2034"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602,347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3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Assets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(JPY)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59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586" w:type="dxa"/>
            <w:tcBorders/>
            <w:shd w:fill="CCEE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2.84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586" w:type="dxa"/>
            <w:tcBorders/>
            <w:shd w:fill="CCEE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15.43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2034" w:type="dxa"/>
            <w:tcBorders/>
            <w:shd w:fill="CCEE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13.11</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financial figures for the 3rd, 4th, and 5th fiscal years are the financial figures disclosed in accordance with U.S. GAAP.</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audit by the independent auditor of the financial figures for the 6th fiscal year has not been completed due to the timing of the U.S. audit period. For audited figures for the fiscal year ended March 31, 2026, please refer to forthcoming public disclosures.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implemented a 6-for-1 stock split effective January 7, 2025. Net loss per share and net assets per share have been calculated assuming that the stock split had been effected at the beginning of the 3rd fiscal year (FY ended March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Issues to be Addressed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① </w:t>
      </w:r>
      <w:r>
        <w:rPr>
          <w:rFonts w:ascii="Times New Roman;Times;Serif" w:hAnsi="Times New Roman;Times;Serif"/>
          <w:b/>
          <w:i w:val="false"/>
          <w:caps w:val="false"/>
          <w:smallCaps w:val="false"/>
          <w:sz w:val="20"/>
        </w:rPr>
        <w:t>Expansion of Software Development and Sales Utilizing AI Technology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business is currently the development and sale of software utilizing AI technology and the provision of e-learning services. The Company will continue to work to increase the number of software sales and e-learning offerings, while striving to improve service 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② </w:t>
      </w:r>
      <w:r>
        <w:rPr>
          <w:rFonts w:ascii="Times New Roman;Times;Serif" w:hAnsi="Times New Roman;Times;Serif"/>
          <w:b/>
          <w:i w:val="false"/>
          <w:caps w:val="false"/>
          <w:smallCaps w:val="false"/>
          <w:sz w:val="20"/>
        </w:rPr>
        <w:t>Recruitment and Development of Talented Personnel for Stable Business Growth</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the Company’s continued growth and the stability of its management foundation, the recruitment and development of talented personnel is essential. The Company focuses primarily on mid-career hires of personnel who can contribute immediately, with an emphasis on hiring individuals who share the Company’s management philosophy and corporate culture.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③ </w:t>
      </w:r>
      <w:r>
        <w:rPr>
          <w:rFonts w:ascii="Times New Roman;Times;Serif" w:hAnsi="Times New Roman;Times;Serif"/>
          <w:b/>
          <w:i w:val="false"/>
          <w:caps w:val="false"/>
          <w:smallCaps w:val="false"/>
          <w:sz w:val="20"/>
        </w:rPr>
        <w:t>Strengthening of Management Control System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importance of enhancing and strengthening the management control system in line with business expansion. With the goals of management stability, soundness, and efficient organizational operation, the Company will continuously review its organizational structure and internal controls, ensure thorough compliance with laws and regulations, and advance the development and strengthening of internal controls commensurate with business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Principal Business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business is the development and sale of software utilizing AI technology, and the provision of e-learning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Principal Offices and Plants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 Office: Minato-ku, Tokyo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Status of Employees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Employees: 18 (change from the end of the previous fiscal year: 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Principal Lenders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Other Material Matters Concerning the Status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Status of Shares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Total Number of Authorized Shares: 168,000,000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Total Number of Issued Shares: 45,960,000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public offering at the time of listing on the Nasdaq market on July 18, 2025, the total number of issued shares increased by 3,750,000 shares.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Number of Shareholders: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Major Shareholders</w:t>
      </w:r>
    </w:p>
    <w:p>
      <w:pPr>
        <w:pStyle w:val="TextBody"/>
        <w:bidi w:val="0"/>
        <w:spacing w:before="0" w:after="0"/>
        <w:ind w:left="0" w:right="0" w:hanging="0"/>
        <w:jc w:val="left"/>
        <w:rPr>
          <w:caps w:val="false"/>
          <w:smallCaps w:val="false"/>
        </w:rPr>
      </w:pPr>
      <w:r>
        <w:rPr>
          <w:caps w:val="false"/>
          <w:smallCaps w:val="false"/>
        </w:rPr>
        <w:t> </w:t>
      </w:r>
    </w:p>
    <w:tbl>
      <w:tblPr>
        <w:tblW w:w="6875" w:type="dxa"/>
        <w:jc w:val="left"/>
        <w:tblInd w:w="0" w:type="dxa"/>
        <w:tblLayout w:type="fixed"/>
        <w:tblCellMar>
          <w:top w:w="0" w:type="dxa"/>
          <w:left w:w="0" w:type="dxa"/>
          <w:bottom w:w="0" w:type="dxa"/>
          <w:right w:w="0" w:type="dxa"/>
        </w:tblCellMar>
      </w:tblPr>
      <w:tblGrid>
        <w:gridCol w:w="3050"/>
        <w:gridCol w:w="60"/>
        <w:gridCol w:w="60"/>
        <w:gridCol w:w="1925"/>
        <w:gridCol w:w="60"/>
        <w:gridCol w:w="60"/>
        <w:gridCol w:w="134"/>
        <w:gridCol w:w="1251"/>
        <w:gridCol w:w="275"/>
      </w:tblGrid>
      <w:tr>
        <w:trPr/>
        <w:tc>
          <w:tcPr>
            <w:tcW w:w="30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of Shareholder</w:t>
            </w:r>
          </w:p>
        </w:tc>
        <w:tc>
          <w:tcPr>
            <w:tcW w:w="6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jc w:val="right"/>
              <w:rPr>
                <w:rFonts w:ascii="Times New Roman;Times;Serif" w:hAnsi="Times New Roman;Times;Serif"/>
                <w:b/>
              </w:rPr>
            </w:pPr>
            <w:r>
              <w:rPr>
                <w:rFonts w:ascii="Times New Roman;Times;Serif" w:hAnsi="Times New Roman;Times;Serif"/>
                <w:b/>
              </w:rPr>
              <w:t>Number of</w:t>
            </w:r>
          </w:p>
          <w:p>
            <w:pPr>
              <w:pStyle w:val="TableContents"/>
              <w:bidi w:val="0"/>
              <w:spacing w:before="0" w:after="283"/>
              <w:jc w:val="right"/>
              <w:rPr>
                <w:rFonts w:ascii="Times New Roman;Times;Serif" w:hAnsi="Times New Roman;Times;Serif"/>
                <w:b/>
              </w:rPr>
            </w:pPr>
            <w:r>
              <w:rPr>
                <w:rFonts w:ascii="Times New Roman;Times;Serif" w:hAnsi="Times New Roman;Times;Serif"/>
                <w:b/>
              </w:rPr>
              <w:t>Shares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jc w:val="right"/>
              <w:rPr>
                <w:rFonts w:ascii="Times New Roman;Times;Serif" w:hAnsi="Times New Roman;Times;Serif"/>
                <w:b/>
              </w:rPr>
            </w:pPr>
            <w:r>
              <w:rPr>
                <w:rFonts w:ascii="Times New Roman;Times;Serif" w:hAnsi="Times New Roman;Times;Serif"/>
                <w:b/>
              </w:rPr>
              <w:t>Shareholding</w:t>
            </w:r>
          </w:p>
          <w:p>
            <w:pPr>
              <w:pStyle w:val="TableContents"/>
              <w:bidi w:val="0"/>
              <w:spacing w:before="0" w:after="283"/>
              <w:jc w:val="right"/>
              <w:rPr>
                <w:rFonts w:ascii="Times New Roman;Times;Serif" w:hAnsi="Times New Roman;Times;Serif"/>
                <w:b/>
              </w:rPr>
            </w:pPr>
            <w:r>
              <w:rPr>
                <w:rFonts w:ascii="Times New Roman;Times;Serif" w:hAnsi="Times New Roman;Times;Serif"/>
                <w:b/>
              </w:rPr>
              <w:t>Ratio</w:t>
            </w:r>
          </w:p>
        </w:tc>
        <w:tc>
          <w:tcPr>
            <w:tcW w:w="2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Hidetoshi Yokoyama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28,452 thousand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Bank of New York Mellon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Stella MIC Investment Ltd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Norihiro Terada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RC EQOAL CO., LTD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Philos Co., Ltd.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NPO Office Normalization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Masahiro Nishiyama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Akiyoshi Kinpara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Shigeko Sakurai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2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Status of Stock Acquisition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Stock acquisition rights held by Directors and Auditors as consideration for the execution of their duties, as of the end of the current fiscal year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6"/>
        <w:gridCol w:w="60"/>
        <w:gridCol w:w="7659"/>
      </w:tblGrid>
      <w:tr>
        <w:trPr/>
        <w:tc>
          <w:tcPr>
            <w:tcW w:w="24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76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1st Series Stock Acquisition Rights</w:t>
            </w:r>
          </w:p>
        </w:tc>
      </w:tr>
      <w:tr>
        <w:trPr/>
        <w:tc>
          <w:tcPr>
            <w:tcW w:w="24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Resolution</w:t>
            </w:r>
          </w:p>
        </w:tc>
        <w:tc>
          <w:tcPr>
            <w:tcW w:w="60" w:type="dxa"/>
            <w:tcBorders/>
            <w:vAlign w:val="center"/>
          </w:tcPr>
          <w:p>
            <w:pPr>
              <w:pStyle w:val="TableContents"/>
              <w:bidi w:val="0"/>
              <w:spacing w:before="0" w:after="283"/>
              <w:jc w:val="left"/>
              <w:rPr/>
            </w:pPr>
            <w:r>
              <w:rPr/>
              <w:t> </w:t>
            </w:r>
          </w:p>
        </w:tc>
        <w:tc>
          <w:tcPr>
            <w:tcW w:w="76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5, 2024</w:t>
            </w:r>
          </w:p>
        </w:tc>
      </w:tr>
      <w:tr>
        <w:trPr/>
        <w:tc>
          <w:tcPr>
            <w:tcW w:w="24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Holders Directors (excluding outside officers) Outside Directors</w:t>
            </w:r>
          </w:p>
        </w:tc>
        <w:tc>
          <w:tcPr>
            <w:tcW w:w="60" w:type="dxa"/>
            <w:tcBorders/>
            <w:vAlign w:val="center"/>
          </w:tcPr>
          <w:p>
            <w:pPr>
              <w:pStyle w:val="TableContents"/>
              <w:bidi w:val="0"/>
              <w:spacing w:before="0" w:after="283"/>
              <w:jc w:val="left"/>
              <w:rPr/>
            </w:pPr>
            <w:r>
              <w:rPr/>
              <w:t> </w:t>
            </w:r>
          </w:p>
        </w:tc>
        <w:tc>
          <w:tcPr>
            <w:tcW w:w="76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24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and Number of Shares Underlying the Rights</w:t>
            </w:r>
          </w:p>
        </w:tc>
        <w:tc>
          <w:tcPr>
            <w:tcW w:w="60" w:type="dxa"/>
            <w:tcBorders/>
            <w:vAlign w:val="center"/>
          </w:tcPr>
          <w:p>
            <w:pPr>
              <w:pStyle w:val="TableContents"/>
              <w:bidi w:val="0"/>
              <w:spacing w:before="0" w:after="283"/>
              <w:jc w:val="left"/>
              <w:rPr/>
            </w:pPr>
            <w:r>
              <w:rPr/>
              <w:t> </w:t>
            </w:r>
          </w:p>
        </w:tc>
        <w:tc>
          <w:tcPr>
            <w:tcW w:w="76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1,428,000 shares</w:t>
            </w:r>
          </w:p>
        </w:tc>
      </w:tr>
      <w:tr>
        <w:trPr/>
        <w:tc>
          <w:tcPr>
            <w:tcW w:w="24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Price of Stock Acquisition Rights</w:t>
            </w:r>
          </w:p>
        </w:tc>
        <w:tc>
          <w:tcPr>
            <w:tcW w:w="60" w:type="dxa"/>
            <w:tcBorders/>
            <w:vAlign w:val="center"/>
          </w:tcPr>
          <w:p>
            <w:pPr>
              <w:pStyle w:val="TableContents"/>
              <w:bidi w:val="0"/>
              <w:spacing w:before="0" w:after="283"/>
              <w:jc w:val="left"/>
              <w:rPr/>
            </w:pPr>
            <w:r>
              <w:rPr/>
              <w:t> </w:t>
            </w:r>
          </w:p>
        </w:tc>
        <w:tc>
          <w:tcPr>
            <w:tcW w:w="76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of charge</w:t>
            </w:r>
          </w:p>
        </w:tc>
      </w:tr>
      <w:tr>
        <w:trPr/>
        <w:tc>
          <w:tcPr>
            <w:tcW w:w="24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to be paid upon Exercise</w:t>
            </w:r>
          </w:p>
        </w:tc>
        <w:tc>
          <w:tcPr>
            <w:tcW w:w="60" w:type="dxa"/>
            <w:tcBorders/>
            <w:vAlign w:val="center"/>
          </w:tcPr>
          <w:p>
            <w:pPr>
              <w:pStyle w:val="TableContents"/>
              <w:bidi w:val="0"/>
              <w:spacing w:before="0" w:after="283"/>
              <w:jc w:val="left"/>
              <w:rPr/>
            </w:pPr>
            <w:r>
              <w:rPr/>
              <w:t> </w:t>
            </w:r>
          </w:p>
        </w:tc>
        <w:tc>
          <w:tcPr>
            <w:tcW w:w="76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JPY 2,000 per Stock Acquisition Right (JPY 200 per share)</w:t>
            </w:r>
          </w:p>
        </w:tc>
      </w:tr>
      <w:tr>
        <w:trPr/>
        <w:tc>
          <w:tcPr>
            <w:tcW w:w="24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Period</w:t>
            </w:r>
          </w:p>
        </w:tc>
        <w:tc>
          <w:tcPr>
            <w:tcW w:w="60" w:type="dxa"/>
            <w:tcBorders/>
            <w:vAlign w:val="center"/>
          </w:tcPr>
          <w:p>
            <w:pPr>
              <w:pStyle w:val="TableContents"/>
              <w:bidi w:val="0"/>
              <w:spacing w:before="0" w:after="283"/>
              <w:jc w:val="left"/>
              <w:rPr/>
            </w:pPr>
            <w:r>
              <w:rPr/>
              <w:t> </w:t>
            </w:r>
          </w:p>
        </w:tc>
        <w:tc>
          <w:tcPr>
            <w:tcW w:w="76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February 7, 2026 to February 6, 2034</w:t>
            </w:r>
          </w:p>
        </w:tc>
      </w:tr>
      <w:tr>
        <w:trPr/>
        <w:tc>
          <w:tcPr>
            <w:tcW w:w="24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Conditions of Exercise</w:t>
            </w:r>
          </w:p>
        </w:tc>
        <w:tc>
          <w:tcPr>
            <w:tcW w:w="60" w:type="dxa"/>
            <w:tcBorders/>
            <w:vAlign w:val="center"/>
          </w:tcPr>
          <w:p>
            <w:pPr>
              <w:pStyle w:val="TableContents"/>
              <w:bidi w:val="0"/>
              <w:spacing w:before="0" w:after="283"/>
              <w:jc w:val="left"/>
              <w:rPr/>
            </w:pPr>
            <w:r>
              <w:rPr/>
              <w:t> </w:t>
            </w:r>
          </w:p>
        </w:tc>
        <w:tc>
          <w:tcPr>
            <w:tcW w:w="76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stock acquisition rights may exercise the rights only if the holder retains the position of director of the Company at the time of exercise. Other conditions shall be as stipulated in the Stock Acquisition Right Allotment Agreement entered into between the Company and each holder.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Stock acquisition rights granted to employees as consideration for the execution of their duties during the current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Status of Company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Status of Directors and Statutory Auditors (as of March 31, 2026)</w:t>
      </w:r>
    </w:p>
    <w:p>
      <w:pPr>
        <w:pStyle w:val="TextBody"/>
        <w:bidi w:val="0"/>
        <w:spacing w:before="0" w:after="0"/>
        <w:ind w:left="0" w:right="0" w:hanging="0"/>
        <w:jc w:val="left"/>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3140"/>
        <w:gridCol w:w="60"/>
        <w:gridCol w:w="1745"/>
        <w:gridCol w:w="60"/>
        <w:gridCol w:w="4505"/>
      </w:tblGrid>
      <w:tr>
        <w:trPr/>
        <w:tc>
          <w:tcPr>
            <w:tcW w:w="314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45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Responsibilities and Significant Concurrent Positions</w:t>
            </w:r>
          </w:p>
        </w:tc>
      </w:tr>
      <w:tr>
        <w:trPr/>
        <w:tc>
          <w:tcPr>
            <w:tcW w:w="31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 and Chairman</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Hidetoshi Yokoyama</w:t>
            </w:r>
          </w:p>
        </w:tc>
        <w:tc>
          <w:tcPr>
            <w:tcW w:w="60" w:type="dxa"/>
            <w:tcBorders/>
            <w:tcMar>
              <w:bottom w:w="0" w:type="dxa"/>
            </w:tcMar>
            <w:vAlign w:val="center"/>
          </w:tcPr>
          <w:p>
            <w:pPr>
              <w:pStyle w:val="TableContents"/>
              <w:bidi w:val="0"/>
              <w:spacing w:before="0" w:after="283"/>
              <w:jc w:val="left"/>
              <w:rPr/>
            </w:pPr>
            <w:r>
              <w:rPr/>
              <w:t> </w:t>
            </w:r>
          </w:p>
        </w:tc>
        <w:tc>
          <w:tcPr>
            <w:tcW w:w="45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CEO</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Amit Thakur</w:t>
            </w:r>
          </w:p>
        </w:tc>
        <w:tc>
          <w:tcPr>
            <w:tcW w:w="60" w:type="dxa"/>
            <w:tcBorders/>
            <w:tcMar>
              <w:bottom w:w="0" w:type="dxa"/>
            </w:tcMar>
            <w:vAlign w:val="center"/>
          </w:tcPr>
          <w:p>
            <w:pPr>
              <w:pStyle w:val="TableContents"/>
              <w:bidi w:val="0"/>
              <w:spacing w:before="0" w:after="283"/>
              <w:jc w:val="left"/>
              <w:rPr/>
            </w:pPr>
            <w:r>
              <w:rPr/>
              <w:t> </w:t>
            </w:r>
          </w:p>
        </w:tc>
        <w:tc>
          <w:tcPr>
            <w:tcW w:w="45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Yukio Aida</w:t>
            </w:r>
          </w:p>
        </w:tc>
        <w:tc>
          <w:tcPr>
            <w:tcW w:w="60" w:type="dxa"/>
            <w:tcBorders/>
            <w:tcMar>
              <w:bottom w:w="0" w:type="dxa"/>
            </w:tcMar>
            <w:vAlign w:val="center"/>
          </w:tcPr>
          <w:p>
            <w:pPr>
              <w:pStyle w:val="TableContents"/>
              <w:bidi w:val="0"/>
              <w:spacing w:before="0" w:after="283"/>
              <w:jc w:val="left"/>
              <w:rPr/>
            </w:pPr>
            <w:r>
              <w:rPr/>
              <w:t> </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w:t>
            </w:r>
          </w:p>
        </w:tc>
      </w:tr>
      <w:tr>
        <w:trPr/>
        <w:tc>
          <w:tcPr>
            <w:tcW w:w="31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Arisa Koga</w:t>
            </w:r>
          </w:p>
        </w:tc>
        <w:tc>
          <w:tcPr>
            <w:tcW w:w="60" w:type="dxa"/>
            <w:tcBorders/>
            <w:tcMar>
              <w:bottom w:w="0" w:type="dxa"/>
            </w:tcMar>
            <w:vAlign w:val="center"/>
          </w:tcPr>
          <w:p>
            <w:pPr>
              <w:pStyle w:val="TableContents"/>
              <w:bidi w:val="0"/>
              <w:spacing w:before="0" w:after="283"/>
              <w:jc w:val="left"/>
              <w:rPr/>
            </w:pPr>
            <w:r>
              <w:rPr/>
              <w:t> </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w:t>
            </w:r>
          </w:p>
        </w:tc>
      </w:tr>
      <w:tr>
        <w:trPr/>
        <w:tc>
          <w:tcPr>
            <w:tcW w:w="31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Tomoya Suzuki</w:t>
            </w:r>
          </w:p>
        </w:tc>
        <w:tc>
          <w:tcPr>
            <w:tcW w:w="60" w:type="dxa"/>
            <w:tcBorders/>
            <w:tcMar>
              <w:bottom w:w="0" w:type="dxa"/>
            </w:tcMar>
            <w:vAlign w:val="center"/>
          </w:tcPr>
          <w:p>
            <w:pPr>
              <w:pStyle w:val="TableContents"/>
              <w:bidi w:val="0"/>
              <w:spacing w:before="0" w:after="283"/>
              <w:jc w:val="left"/>
              <w:rPr/>
            </w:pPr>
            <w:r>
              <w:rPr/>
              <w:t> </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CTO</w:t>
            </w:r>
          </w:p>
        </w:tc>
      </w:tr>
      <w:tr>
        <w:trPr/>
        <w:tc>
          <w:tcPr>
            <w:tcW w:w="31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Koji Aoki</w:t>
            </w:r>
          </w:p>
        </w:tc>
        <w:tc>
          <w:tcPr>
            <w:tcW w:w="60" w:type="dxa"/>
            <w:tcBorders/>
            <w:tcMar>
              <w:bottom w:w="0" w:type="dxa"/>
            </w:tcMar>
            <w:vAlign w:val="center"/>
          </w:tcPr>
          <w:p>
            <w:pPr>
              <w:pStyle w:val="TableContents"/>
              <w:bidi w:val="0"/>
              <w:spacing w:before="0" w:after="283"/>
              <w:jc w:val="left"/>
              <w:rPr/>
            </w:pPr>
            <w:r>
              <w:rPr/>
              <w:t> </w:t>
            </w:r>
          </w:p>
        </w:tc>
        <w:tc>
          <w:tcPr>
            <w:tcW w:w="45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Full-time Statutory Auditor</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Atsuo Ogasawara</w:t>
            </w:r>
          </w:p>
        </w:tc>
        <w:tc>
          <w:tcPr>
            <w:tcW w:w="60" w:type="dxa"/>
            <w:tcBorders/>
            <w:tcMar>
              <w:bottom w:w="0" w:type="dxa"/>
            </w:tcMar>
            <w:vAlign w:val="center"/>
          </w:tcPr>
          <w:p>
            <w:pPr>
              <w:pStyle w:val="TableContents"/>
              <w:bidi w:val="0"/>
              <w:spacing w:before="0" w:after="283"/>
              <w:jc w:val="left"/>
              <w:rPr/>
            </w:pPr>
            <w:r>
              <w:rPr/>
              <w:t> </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Tax Accountant</w:t>
            </w:r>
          </w:p>
        </w:tc>
      </w:tr>
      <w:tr>
        <w:trPr/>
        <w:tc>
          <w:tcPr>
            <w:tcW w:w="31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Auditor</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Masayoshi Takatsu</w:t>
            </w:r>
          </w:p>
        </w:tc>
        <w:tc>
          <w:tcPr>
            <w:tcW w:w="60" w:type="dxa"/>
            <w:tcBorders/>
            <w:tcMar>
              <w:bottom w:w="0" w:type="dxa"/>
            </w:tcMar>
            <w:vAlign w:val="center"/>
          </w:tcPr>
          <w:p>
            <w:pPr>
              <w:pStyle w:val="TableContents"/>
              <w:bidi w:val="0"/>
              <w:spacing w:before="0" w:after="283"/>
              <w:jc w:val="left"/>
              <w:rPr/>
            </w:pPr>
            <w:r>
              <w:rPr/>
              <w:t> </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Scrivener</w:t>
            </w:r>
          </w:p>
        </w:tc>
      </w:tr>
      <w:tr>
        <w:trPr/>
        <w:tc>
          <w:tcPr>
            <w:tcW w:w="31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Auditor</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Mitsuhiro Kashimura</w:t>
            </w:r>
          </w:p>
        </w:tc>
        <w:tc>
          <w:tcPr>
            <w:tcW w:w="60" w:type="dxa"/>
            <w:tcBorders/>
            <w:tcMar>
              <w:bottom w:w="0" w:type="dxa"/>
            </w:tcMar>
            <w:vAlign w:val="center"/>
          </w:tcPr>
          <w:p>
            <w:pPr>
              <w:pStyle w:val="TableContents"/>
              <w:bidi w:val="0"/>
              <w:spacing w:before="0" w:after="283"/>
              <w:jc w:val="left"/>
              <w:rPr/>
            </w:pPr>
            <w:r>
              <w:rPr/>
              <w:t> </w:t>
            </w:r>
          </w:p>
        </w:tc>
        <w:tc>
          <w:tcPr>
            <w:tcW w:w="45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Tax Accountant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Director Koji Aoki is an Outside Director as defined in Article 2, Item 15 of the Companies 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Statutory Auditors Atsuo Ogasawara, Masayoshi Takatsu and Mitsuhiro Kashimura are Outside Statutory Auditors as defined in Article 2, Item 16 of the Companies Act.</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Overview of Limited Liability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Overview of 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Overview of Directors and Officers Liability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 Directors and Officers Liability Insurance Policy as prescribed in Article 430-3, Paragraph 1 of the Companies Act with an insurance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insured persons under the said policy are the Directors and Statutory Auditors of the Company, and the insured persons do not bear the insurance premium. The said insurance policy compensates for damages arising from claims for damages caused by the execution of duties by the insured persons. However, in order not to impair the appropriateness of the execution of duties by the insured persons, damages caused by intentional misconduct or gross negligence in the execution of duties are not covered.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Remuneration etc. of Directors and Statutory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① </w:t>
      </w:r>
      <w:r>
        <w:rPr>
          <w:rFonts w:ascii="Times New Roman;Times;Serif" w:hAnsi="Times New Roman;Times;Serif"/>
          <w:b/>
          <w:i w:val="false"/>
          <w:caps w:val="false"/>
          <w:smallCaps w:val="false"/>
          <w:sz w:val="20"/>
        </w:rPr>
        <w:t>Policy for Determining the Content of Remuneration etc. for Officers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amount of remuneration for Directors and Statutory Auditors was resolved at the General Meeting of Shareholders held on July 27, 2023. Within these limits, the remuneration for each Director and Statutory Auditor is determined by resolution of the Board of Directors and Board of Statutory Auditors,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② </w:t>
      </w:r>
      <w:r>
        <w:rPr>
          <w:rFonts w:ascii="Times New Roman;Times;Serif" w:hAnsi="Times New Roman;Times;Serif"/>
          <w:b/>
          <w:i w:val="false"/>
          <w:caps w:val="false"/>
          <w:smallCaps w:val="false"/>
          <w:sz w:val="20"/>
        </w:rPr>
        <w:t>Total Amount of Remuneration etc. for the Current Fiscal Year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70"/>
        <w:gridCol w:w="60"/>
        <w:gridCol w:w="1856"/>
        <w:gridCol w:w="60"/>
        <w:gridCol w:w="1856"/>
        <w:gridCol w:w="60"/>
        <w:gridCol w:w="1995"/>
        <w:gridCol w:w="60"/>
        <w:gridCol w:w="1545"/>
        <w:gridCol w:w="60"/>
        <w:gridCol w:w="783"/>
      </w:tblGrid>
      <w:tr>
        <w:trPr/>
        <w:tc>
          <w:tcPr>
            <w:tcW w:w="187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Category</w:t>
            </w:r>
          </w:p>
        </w:tc>
        <w:tc>
          <w:tcPr>
            <w:tcW w:w="60" w:type="dxa"/>
            <w:tcBorders/>
            <w:tcMar>
              <w:bottom w:w="0" w:type="dxa"/>
            </w:tcMar>
            <w:vAlign w:val="center"/>
          </w:tcPr>
          <w:p>
            <w:pPr>
              <w:pStyle w:val="TableContents"/>
              <w:bidi w:val="0"/>
              <w:spacing w:before="0" w:after="283"/>
              <w:jc w:val="left"/>
              <w:rPr/>
            </w:pPr>
            <w:r>
              <w:rPr/>
              <w:t> </w:t>
            </w:r>
          </w:p>
        </w:tc>
        <w:tc>
          <w:tcPr>
            <w:tcW w:w="1856"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Amount</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Remuneration</w:t>
            </w:r>
          </w:p>
        </w:tc>
        <w:tc>
          <w:tcPr>
            <w:tcW w:w="60" w:type="dxa"/>
            <w:tcBorders/>
            <w:tcMar>
              <w:bottom w:w="0" w:type="dxa"/>
            </w:tcMar>
            <w:vAlign w:val="center"/>
          </w:tcPr>
          <w:p>
            <w:pPr>
              <w:pStyle w:val="TableContents"/>
              <w:bidi w:val="0"/>
              <w:spacing w:before="0" w:after="283"/>
              <w:jc w:val="left"/>
              <w:rPr/>
            </w:pPr>
            <w:r>
              <w:rPr/>
              <w:t> </w:t>
            </w:r>
          </w:p>
        </w:tc>
        <w:tc>
          <w:tcPr>
            <w:tcW w:w="1856"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by Type of</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tc>
        <w:tc>
          <w:tcPr>
            <w:tcW w:w="60" w:type="dxa"/>
            <w:tcBorders/>
            <w:tcMar>
              <w:bottom w:w="0" w:type="dxa"/>
            </w:tcMar>
            <w:vAlign w:val="center"/>
          </w:tcPr>
          <w:p>
            <w:pPr>
              <w:pStyle w:val="TableContents"/>
              <w:bidi w:val="0"/>
              <w:spacing w:before="0" w:after="283"/>
              <w:jc w:val="left"/>
              <w:rPr/>
            </w:pPr>
            <w:r>
              <w:rPr/>
              <w:t> </w:t>
            </w:r>
          </w:p>
        </w:tc>
        <w:tc>
          <w:tcPr>
            <w:tcW w:w="1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83"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w:t>
            </w:r>
          </w:p>
        </w:tc>
      </w:tr>
      <w:tr>
        <w:trPr/>
        <w:tc>
          <w:tcPr>
            <w:tcW w:w="18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Remuneration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Performance-Linked Remuneration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Non-Monetary Remuneration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(of which, Outside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JPY 47,800 thousand (JPY 2,800 thousand)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JPY 47,800 thousand (JPY 2,800 thousand)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(1)</w:t>
            </w:r>
          </w:p>
        </w:tc>
      </w:tr>
      <w:tr>
        <w:trPr/>
        <w:tc>
          <w:tcPr>
            <w:tcW w:w="18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Auditors (of which, Outside Statutory Auditors)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JPY 1,600 thousand (JPY 1,600 thousand)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JPY 1,600 thousand (JPY 1,600 thousand)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(3)</w:t>
            </w:r>
          </w:p>
        </w:tc>
      </w:tr>
      <w:tr>
        <w:trPr/>
        <w:tc>
          <w:tcPr>
            <w:tcW w:w="18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(of which, Outside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JPY 49,400 thousand (JPY 4,400 thousand)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JPY 49,400 thousand (JPY 4,400 thousand)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At the end of the current fiscal year, there are 6 Directors and 3 Statutory Auditors.</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total remuneration of Directors does not include the employee portion of salaries paid to Directors concurrently serving as employees.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maximum cash remuneration for Directors was resolved at the 3rd Annual General Meeting of Shareholders held on July 27, 2023, to be no more than JPY 500,000 thousand per year (not including the employee portion of salaries paid to Directors concurrently serving as employees).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maximum cash remuneration for Statutory Auditors was resolved at the 3rd Annual General Meeting of Shareholders held on July 27, 2023, to be no more than JPY 50,000 thousand per year.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Matters Concerning Outside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① </w:t>
      </w:r>
      <w:r>
        <w:rPr>
          <w:rFonts w:ascii="Times New Roman;Times;Serif" w:hAnsi="Times New Roman;Times;Serif"/>
          <w:b/>
          <w:i w:val="false"/>
          <w:caps w:val="false"/>
          <w:smallCaps w:val="false"/>
          <w:sz w:val="20"/>
        </w:rPr>
        <w:t>Significant Concurrent Positions at Other Entities and Relationship between the Company and Such Other Entities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special relationships between the Company and the entities at which the Outside Officers concurrently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② </w:t>
      </w:r>
      <w:r>
        <w:rPr>
          <w:rFonts w:ascii="Times New Roman;Times;Serif" w:hAnsi="Times New Roman;Times;Serif"/>
          <w:b/>
          <w:i w:val="false"/>
          <w:caps w:val="false"/>
          <w:smallCaps w:val="false"/>
          <w:sz w:val="20"/>
        </w:rPr>
        <w:t>Principal Activities during the Current Fiscal Year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Outside Directors and Outside Statutory Auditors fulfill their roles by attending Board of Directors meetings, providing advice from a professional standpoint, and ensuring the appropriateness of the Directors’ compliance with laws and regulations and the appropriateness of their decision-making.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Outside Statutory Auditors fulfill their roles by attending Board of Statutory Auditors meetings to ensure the appropriateness of the Company’s governance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Outside Directors and Outside Statutory Auditors provide opinions at Board of Directors meetings to ensure the appropriateness of the decisions made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System to Ensure the Appropriateness of Business Operations and the Operational Status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outline of the determination regarding the systems to ensure that the execution of duties by Directors complies with laws and regulations and the Articles of Incorporation, and other systems to ensure the appropriateness of the Company’s business operations,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① </w:t>
      </w:r>
      <w:r>
        <w:rPr>
          <w:rFonts w:ascii="Times New Roman;Times;Serif" w:hAnsi="Times New Roman;Times;Serif"/>
          <w:b/>
          <w:i w:val="false"/>
          <w:caps w:val="false"/>
          <w:smallCaps w:val="false"/>
          <w:sz w:val="20"/>
        </w:rPr>
        <w:t>System to ensure compliance of the execution of duties by Directors with laws and regulations and the Articles of Incorporation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ensure that the execution of duties by Directors and employees complies with laws and regulations and the Articles of Incorporation, and to ensure the appropriateness of the Company’s business operations, Directors shall promptly report to the Board of Directors any material violation of laws or regulations, compliance violation, or other material fact concerning the Company that they discover. The Board of Directors monitors and supervises the execution of duties by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Auditors audit the execution of duties by Directors in accordance with the Audit Standards of the Board of Statutory Auditors. If any act in violation of laws, regulations, the Articles of Incorporation, or internal rules has been or is about to be conducted, they shall promptly report to the Board of Directors.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② </w:t>
      </w:r>
      <w:r>
        <w:rPr>
          <w:rFonts w:ascii="Times New Roman;Times;Serif" w:hAnsi="Times New Roman;Times;Serif"/>
          <w:b/>
          <w:i w:val="false"/>
          <w:caps w:val="false"/>
          <w:smallCaps w:val="false"/>
          <w:sz w:val="20"/>
        </w:rPr>
        <w:t>System for the preservation and management of information relating to the execution of duties by Directors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and other important information related to the execution of duties by Directors shall be prepared, preserved, and managed in accordance with laws, regulations, the Articles of Incorporation, and internal rules. Directors and Statutory Auditors may inspect such information as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③ </w:t>
      </w:r>
      <w:r>
        <w:rPr>
          <w:rFonts w:ascii="Times New Roman;Times;Serif" w:hAnsi="Times New Roman;Times;Serif"/>
          <w:b/>
          <w:i w:val="false"/>
          <w:caps w:val="false"/>
          <w:smallCaps w:val="false"/>
          <w:sz w:val="20"/>
        </w:rPr>
        <w:t>Rules and other systems for managing risk of loss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respond to various risks associated with the conduct of business, the Company implements risk management aimed at reducing risks, minimizing damage when incidents occur, and preventing recurrence. Through periodic reports on business execution status made at the Board of Directors and other meetings, the Company monitors and manages risks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④ </w:t>
      </w:r>
      <w:r>
        <w:rPr>
          <w:rFonts w:ascii="Times New Roman;Times;Serif" w:hAnsi="Times New Roman;Times;Serif"/>
          <w:b/>
          <w:i w:val="false"/>
          <w:caps w:val="false"/>
          <w:smallCaps w:val="false"/>
          <w:sz w:val="20"/>
        </w:rPr>
        <w:t>System to ensure that the execution of duties by Directors is carried out efficiently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 meetings shall be held at least once a month to make decisions on important matters and receive reports on the execution of duties by Directors, and to monitor and supervise the execution of duties by Directors. The execution of duties based on Board of Directors resolutions shall be carried out with clear delineation of responsibilities to ensure efficient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⑤ </w:t>
      </w:r>
      <w:r>
        <w:rPr>
          <w:rFonts w:ascii="Times New Roman;Times;Serif" w:hAnsi="Times New Roman;Times;Serif"/>
          <w:b/>
          <w:i w:val="false"/>
          <w:caps w:val="false"/>
          <w:smallCaps w:val="false"/>
          <w:sz w:val="20"/>
        </w:rPr>
        <w:t>System to ensure compliance of the execution of duties by employees with laws and regulations and the Articles of Incorporation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makes decisions on material matters, requires officers and employees to report on the execution of duties, and ascertains the status of compliance with laws, regulations, the Articles of Incorporation, and internal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verify the status of compliance with laws, regulations, the Articles of Incorporation, and internal rules in the execution of duties by employees, as well as the status of other business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problems are identified in the status of compliance with laws, regulations, the Articles of Incorporation, or internal rules, the Statutory Auditors shall request the Board of Directors to take corrective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⑥ </w:t>
      </w:r>
      <w:r>
        <w:rPr>
          <w:rFonts w:ascii="Times New Roman;Times;Serif" w:hAnsi="Times New Roman;Times;Serif"/>
          <w:b/>
          <w:i w:val="false"/>
          <w:caps w:val="false"/>
          <w:smallCaps w:val="false"/>
          <w:sz w:val="20"/>
        </w:rPr>
        <w:t>Matters relating to employees who assist the Statutory Auditors in their duties, where the Statutory Auditors request the placement of such employees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 staff shall be assigned to assist the Statutory Auditors in their duties, and shall perform such assistance under the direction and command of the Statutory Auditors.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⑦ </w:t>
      </w:r>
      <w:r>
        <w:rPr>
          <w:rFonts w:ascii="Times New Roman;Times;Serif" w:hAnsi="Times New Roman;Times;Serif"/>
          <w:b/>
          <w:i w:val="false"/>
          <w:caps w:val="false"/>
          <w:smallCaps w:val="false"/>
          <w:sz w:val="20"/>
        </w:rPr>
        <w:t xml:space="preserve">Matters relating to the independence of the employees referred to in </w:t>
      </w:r>
      <w:r>
        <w:rPr>
          <w:rFonts w:ascii="Times New Roman;Times;Serif" w:hAnsi="Times New Roman;Times;Serif"/>
          <w:b w:val="false"/>
          <w:i w:val="false"/>
          <w:caps w:val="false"/>
          <w:smallCaps w:val="false"/>
          <w:sz w:val="20"/>
        </w:rPr>
        <w:t xml:space="preserve">⑥ </w:t>
      </w:r>
      <w:r>
        <w:rPr>
          <w:rFonts w:ascii="Times New Roman;Times;Serif" w:hAnsi="Times New Roman;Times;Serif"/>
          <w:b/>
          <w:i w:val="false"/>
          <w:caps w:val="false"/>
          <w:smallCaps w:val="false"/>
          <w:sz w:val="20"/>
        </w:rPr>
        <w:t>above from the Directors, and the effectiveness of the Statutory Auditors’ instructions to such employees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personnel decisions and evaluations of such staff, the opinions of the Statutory Auditors shall be respected so as not to impair their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⑧ </w:t>
      </w:r>
      <w:r>
        <w:rPr>
          <w:rFonts w:ascii="Times New Roman;Times;Serif" w:hAnsi="Times New Roman;Times;Serif"/>
          <w:b/>
          <w:i w:val="false"/>
          <w:caps w:val="false"/>
          <w:smallCaps w:val="false"/>
          <w:sz w:val="20"/>
        </w:rPr>
        <w:t>System for reporting to the Statutory Auditors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Directors and employees discover any fact in violation of laws or regulations, or any fact that may cause material damage to the Company, they shall promptly report such fact to the Statutory Auditors. They shall also promptly report on any matters concerning the execution of business when requested by the Statutory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⑨ </w:t>
      </w:r>
      <w:r>
        <w:rPr>
          <w:rFonts w:ascii="Times New Roman;Times;Serif" w:hAnsi="Times New Roman;Times;Serif"/>
          <w:b/>
          <w:i w:val="false"/>
          <w:caps w:val="false"/>
          <w:smallCaps w:val="false"/>
          <w:sz w:val="20"/>
        </w:rPr>
        <w:t xml:space="preserve">System to ensure that persons making reports as described in </w:t>
      </w:r>
      <w:r>
        <w:rPr>
          <w:rFonts w:ascii="Times New Roman;Times;Serif" w:hAnsi="Times New Roman;Times;Serif"/>
          <w:b w:val="false"/>
          <w:i w:val="false"/>
          <w:caps w:val="false"/>
          <w:smallCaps w:val="false"/>
          <w:sz w:val="20"/>
        </w:rPr>
        <w:t xml:space="preserve">⑧ </w:t>
      </w:r>
      <w:r>
        <w:rPr>
          <w:rFonts w:ascii="Times New Roman;Times;Serif" w:hAnsi="Times New Roman;Times;Serif"/>
          <w:b/>
          <w:i w:val="false"/>
          <w:caps w:val="false"/>
          <w:smallCaps w:val="false"/>
          <w:sz w:val="20"/>
        </w:rPr>
        <w:t>above are not subjected to disadvantageous treatment because of such reporting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system shall be established to ensure that persons who have made reports to the Statutory Auditors are not subjected to disadvantageous treatment because of such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⑩ </w:t>
      </w:r>
      <w:r>
        <w:rPr>
          <w:rFonts w:ascii="Times New Roman;Times;Serif" w:hAnsi="Times New Roman;Times;Serif"/>
          <w:b/>
          <w:i w:val="false"/>
          <w:caps w:val="false"/>
          <w:smallCaps w:val="false"/>
          <w:sz w:val="20"/>
        </w:rPr>
        <w:t>Matters concerning the policy for the handling of expenses or obligations arising from the execution of duties by the Statutory Auditors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cooperate with the execution of duties by the Statutory Auditors and to ensure the effectiveness of their audits, a budget for audit expenses shall be secured.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⑪ </w:t>
      </w:r>
      <w:r>
        <w:rPr>
          <w:rFonts w:ascii="Times New Roman;Times;Serif" w:hAnsi="Times New Roman;Times;Serif"/>
          <w:b/>
          <w:i w:val="false"/>
          <w:caps w:val="false"/>
          <w:smallCaps w:val="false"/>
          <w:sz w:val="20"/>
        </w:rPr>
        <w:t>Other systems to ensure that the audits by the Statutory Auditors are conducted effectively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Auditors may attend Board of Directors meetings and other important meetings related to management to ascertain the status of important management decisions and the execution of business, and may express opinions. The Representative Director shall regularly exchange opinions with the Statutory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⑫ </w:t>
      </w:r>
      <w:r>
        <w:rPr>
          <w:rFonts w:ascii="Times New Roman;Times;Serif" w:hAnsi="Times New Roman;Times;Serif"/>
          <w:b/>
          <w:i w:val="false"/>
          <w:caps w:val="false"/>
          <w:smallCaps w:val="false"/>
          <w:sz w:val="20"/>
        </w:rPr>
        <w:t>Basic philosophy for the elimination of anti-social forces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prevent damage caused by anti-social forces, the Company shall organize its response to anti-social forces in coordination with external specialized institutions such as the police, the Center for Removal of Criminal Organizations, and legal counsel. The Company shall make ongoing efforts to gather information and develop a system that enables prompt response.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Basic Policy regarding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established any particular basic policy regarding the ideal form of those who control the determination of the Company’s financial and business policies.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JPY thousand)</w:t>
      </w:r>
    </w:p>
    <w:p>
      <w:pPr>
        <w:pStyle w:val="TextBody"/>
        <w:bidi w:val="0"/>
        <w:spacing w:before="0" w:after="0"/>
        <w:ind w:left="0" w:right="0" w:hanging="0"/>
        <w:jc w:val="right"/>
        <w:rPr>
          <w:caps w:val="false"/>
          <w:smallCaps w:val="false"/>
        </w:rPr>
      </w:pPr>
      <w:r>
        <w:rPr>
          <w:caps w:val="false"/>
          <w:smallCaps w:val="false"/>
        </w:rPr>
        <w:t> </w:t>
      </w:r>
    </w:p>
    <w:tbl>
      <w:tblPr>
        <w:tblW w:w="8510" w:type="dxa"/>
        <w:jc w:val="left"/>
        <w:tblInd w:w="0" w:type="dxa"/>
        <w:tblLayout w:type="fixed"/>
        <w:tblCellMar>
          <w:top w:w="0" w:type="dxa"/>
          <w:left w:w="0" w:type="dxa"/>
          <w:bottom w:w="28" w:type="dxa"/>
          <w:right w:w="0" w:type="dxa"/>
        </w:tblCellMar>
      </w:tblPr>
      <w:tblGrid>
        <w:gridCol w:w="2855"/>
        <w:gridCol w:w="60"/>
        <w:gridCol w:w="60"/>
        <w:gridCol w:w="800"/>
        <w:gridCol w:w="60"/>
        <w:gridCol w:w="60"/>
        <w:gridCol w:w="3395"/>
        <w:gridCol w:w="60"/>
        <w:gridCol w:w="60"/>
        <w:gridCol w:w="1025"/>
        <w:gridCol w:w="75"/>
      </w:tblGrid>
      <w:tr>
        <w:trPr/>
        <w:tc>
          <w:tcPr>
            <w:tcW w:w="285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95" w:type="dxa"/>
            <w:tcBorders>
              <w:bottom w:val="single" w:sz="8"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Item</w:t>
            </w:r>
          </w:p>
        </w:tc>
        <w:tc>
          <w:tcPr>
            <w:tcW w:w="60" w:type="dxa"/>
            <w:tcBorders/>
            <w:tcMar>
              <w:bottom w:w="0" w:type="dxa"/>
            </w:tcMar>
            <w:vAlign w:val="center"/>
          </w:tcPr>
          <w:p>
            <w:pPr>
              <w:pStyle w:val="TableContents"/>
              <w:bidi w:val="0"/>
              <w:spacing w:before="0" w:after="283"/>
              <w:jc w:val="left"/>
              <w:rPr/>
            </w:pPr>
            <w:r>
              <w:rPr/>
              <w:t> </w:t>
            </w:r>
          </w:p>
        </w:tc>
        <w:tc>
          <w:tcPr>
            <w:tcW w:w="1085"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Amount</w:t>
            </w:r>
          </w:p>
        </w:tc>
        <w:tc>
          <w:tcPr>
            <w:tcW w:w="75" w:type="dxa"/>
            <w:tcBorders/>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gridSpan w:val="2"/>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5" w:type="dxa"/>
            <w:gridSpan w:val="2"/>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838,645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508,221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Deposits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499,422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Accounts Payable - Trade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89,184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 Trade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Accounts Payable - 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96,738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Accrued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33,455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Consumption Tax Receivable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Deferred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284,757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Deposits Received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970,699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Tangible Fixed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Long-term Deferred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964,875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Building Fixtures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Structures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Total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1,478,921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Vehicles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(Net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Tools, Furniture and Fixtures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Shareholders’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602,347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Capital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1,227,089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Fixed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Capital Surplus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1,889,589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Legal Capital Surplus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1,507,589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Other Capital Surplus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Investments and Other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Retained Earnings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3,719,026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Other Retained Earnings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3,719,026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Retained Earnings Carried Forward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3,719,026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Total Net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sz w:val="20"/>
              </w:rPr>
              <w:t>602,347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876,573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Total Liabilities and Net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876,573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Amounts are truncated to the nearest thousand yen.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Accounting treatment is based on U.S. GAAP, while the disclosure line items have been reclassified in accordance with Japanese GAAP.</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audit by the independent auditor has not been completed due to the timing of the U.S. audit period. For audited figures for the fiscal year ended March 31, 2026, please refer to forthcoming public disclosures.</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April 1, 2025 to 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JPY thousand)</w:t>
      </w:r>
    </w:p>
    <w:p>
      <w:pPr>
        <w:pStyle w:val="TextBody"/>
        <w:bidi w:val="0"/>
        <w:spacing w:before="0" w:after="0"/>
        <w:ind w:left="0" w:right="0" w:hanging="0"/>
        <w:jc w:val="right"/>
        <w:rPr>
          <w:caps w:val="false"/>
          <w:smallCaps w:val="false"/>
        </w:rPr>
      </w:pPr>
      <w:r>
        <w:rPr>
          <w:caps w:val="false"/>
          <w:smallCaps w:val="false"/>
        </w:rPr>
        <w:t> </w:t>
      </w:r>
    </w:p>
    <w:tbl>
      <w:tblPr>
        <w:tblW w:w="6420" w:type="dxa"/>
        <w:jc w:val="left"/>
        <w:tblInd w:w="0" w:type="dxa"/>
        <w:tblLayout w:type="fixed"/>
        <w:tblCellMar>
          <w:top w:w="0" w:type="dxa"/>
          <w:left w:w="0" w:type="dxa"/>
          <w:bottom w:w="0" w:type="dxa"/>
          <w:right w:w="0" w:type="dxa"/>
        </w:tblCellMar>
      </w:tblPr>
      <w:tblGrid>
        <w:gridCol w:w="4385"/>
        <w:gridCol w:w="60"/>
        <w:gridCol w:w="60"/>
        <w:gridCol w:w="680"/>
        <w:gridCol w:w="60"/>
        <w:gridCol w:w="60"/>
        <w:gridCol w:w="60"/>
        <w:gridCol w:w="980"/>
        <w:gridCol w:w="75"/>
      </w:tblGrid>
      <w:tr>
        <w:trPr/>
        <w:tc>
          <w:tcPr>
            <w:tcW w:w="438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Amount</w:t>
            </w:r>
          </w:p>
        </w:tc>
        <w:tc>
          <w:tcPr>
            <w:tcW w:w="75"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631,198</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2,898</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628,300</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2,092,959</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1,464,659</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Non-Operating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 </w:t>
            </w: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17,499</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 </w:t>
            </w: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47,632</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1,494,793</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1,494,793</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Inhabitant and Enterprise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1,494,793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Amounts are truncated to the nearest thousand yen.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Accounting treatment is based on U.S. GAAP, while the disclosure line items have been reclassified in accordance with Japanese GAAP.</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audit by the independent auditor has not been completed due to the timing of the U.S. audit period. For audited figures for the fiscal year ended March 31, 2026, please refer to forthcoming public disclosures.</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CHANGES IN NET ASSETS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April 1, 2025 to 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JPY thousand)</w:t>
      </w:r>
    </w:p>
    <w:p>
      <w:pPr>
        <w:pStyle w:val="TextBody"/>
        <w:bidi w:val="0"/>
        <w:spacing w:before="0" w:after="0"/>
        <w:ind w:left="0" w:right="0" w:hanging="0"/>
        <w:jc w:val="left"/>
        <w:rPr>
          <w:caps w:val="false"/>
          <w:smallCaps w:val="false"/>
        </w:rPr>
      </w:pPr>
      <w:r>
        <w:rPr>
          <w:caps w:val="false"/>
          <w:smallCaps w:val="false"/>
        </w:rPr>
        <w:t> </w:t>
      </w:r>
    </w:p>
    <w:tbl>
      <w:tblPr>
        <w:tblW w:w="10740" w:type="dxa"/>
        <w:jc w:val="left"/>
        <w:tblInd w:w="0" w:type="dxa"/>
        <w:tblLayout w:type="fixed"/>
        <w:tblCellMar>
          <w:top w:w="0" w:type="dxa"/>
          <w:left w:w="0" w:type="dxa"/>
          <w:bottom w:w="0" w:type="dxa"/>
          <w:right w:w="0" w:type="dxa"/>
        </w:tblCellMar>
      </w:tblPr>
      <w:tblGrid>
        <w:gridCol w:w="1400"/>
        <w:gridCol w:w="60"/>
        <w:gridCol w:w="60"/>
        <w:gridCol w:w="980"/>
        <w:gridCol w:w="60"/>
        <w:gridCol w:w="60"/>
        <w:gridCol w:w="60"/>
        <w:gridCol w:w="980"/>
        <w:gridCol w:w="60"/>
        <w:gridCol w:w="60"/>
        <w:gridCol w:w="60"/>
        <w:gridCol w:w="800"/>
        <w:gridCol w:w="60"/>
        <w:gridCol w:w="60"/>
        <w:gridCol w:w="60"/>
        <w:gridCol w:w="980"/>
        <w:gridCol w:w="60"/>
        <w:gridCol w:w="60"/>
        <w:gridCol w:w="60"/>
        <w:gridCol w:w="890"/>
        <w:gridCol w:w="60"/>
        <w:gridCol w:w="60"/>
        <w:gridCol w:w="60"/>
        <w:gridCol w:w="890"/>
        <w:gridCol w:w="60"/>
        <w:gridCol w:w="60"/>
        <w:gridCol w:w="83"/>
        <w:gridCol w:w="1362"/>
        <w:gridCol w:w="60"/>
        <w:gridCol w:w="60"/>
        <w:gridCol w:w="60"/>
        <w:gridCol w:w="980"/>
        <w:gridCol w:w="75"/>
      </w:tblGrid>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Capital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Legal Capital Surplus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Other Capital Surplus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Total Capital Surplus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Retained Earnings Carried Forward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Total Retained 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jc w:val="right"/>
              <w:rPr>
                <w:rFonts w:ascii="Times New Roman;Times;Serif" w:hAnsi="Times New Roman;Times;Serif"/>
                <w:b/>
              </w:rPr>
            </w:pPr>
            <w:r>
              <w:rPr>
                <w:rFonts w:ascii="Times New Roman;Times;Serif" w:hAnsi="Times New Roman;Times;Serif"/>
                <w:b/>
              </w:rPr>
              <w:t>Total</w:t>
            </w:r>
          </w:p>
          <w:p>
            <w:pPr>
              <w:pStyle w:val="TableContents"/>
              <w:bidi w:val="0"/>
              <w:spacing w:before="0" w:after="283"/>
              <w:jc w:val="right"/>
              <w:rPr>
                <w:rFonts w:ascii="Times New Roman;Times;Serif" w:hAnsi="Times New Roman;Times;Serif"/>
                <w:b/>
              </w:rPr>
            </w:pPr>
            <w:r>
              <w:rPr>
                <w:rFonts w:ascii="Times New Roman;Times;Serif" w:hAnsi="Times New Roman;Times;Serif"/>
                <w:b/>
              </w:rPr>
              <w:t>Shareholders’ 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Total Net Assets</w:t>
            </w:r>
          </w:p>
        </w:tc>
        <w:tc>
          <w:tcPr>
            <w:tcW w:w="75"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Beginning of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896,800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r>
              <w:rPr>
                <w:rFonts w:ascii="Times New Roman;Times;Serif" w:hAnsi="Times New Roman;Times;Serif"/>
                <w:sz w:val="20"/>
              </w:rPr>
              <w:t>1,782,485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r>
              <w:rPr>
                <w:rFonts w:ascii="Times New Roman;Times;Serif" w:hAnsi="Times New Roman;Times;Serif"/>
                <w:sz w:val="20"/>
              </w:rPr>
              <w:t>1,782,485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w:t>
            </w:r>
            <w:r>
              <w:rPr>
                <w:rFonts w:ascii="Times New Roman;Times;Serif" w:hAnsi="Times New Roman;Times;Serif"/>
                <w:sz w:val="20"/>
              </w:rPr>
              <w:t>651,385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r>
              <w:rPr>
                <w:rFonts w:ascii="Times New Roman;Times;Serif" w:hAnsi="Times New Roman;Times;Serif"/>
                <w:sz w:val="20"/>
              </w:rPr>
              <w:t>651,385</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during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New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1,985,578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1,985,578</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r>
              <w:rPr>
                <w:rFonts w:ascii="Times New Roman;Times;Serif" w:hAnsi="Times New Roman;Times;Serif"/>
                <w:sz w:val="20"/>
              </w:rPr>
              <w:t>458,116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r>
              <w:rPr>
                <w:rFonts w:ascii="Times New Roman;Times;Serif" w:hAnsi="Times New Roman;Times;Serif"/>
                <w:sz w:val="20"/>
              </w:rPr>
              <w:t>458,116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pPr>
            <w:r>
              <w:rPr/>
              <w:t>△</w:t>
            </w:r>
            <w:r>
              <w:rPr>
                <w:rFonts w:ascii="Times New Roman;Times;Serif" w:hAnsi="Times New Roman;Times;Serif"/>
                <w:sz w:val="20"/>
              </w:rPr>
              <w:t>458,116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r>
              <w:rPr>
                <w:rFonts w:ascii="Times New Roman;Times;Serif" w:hAnsi="Times New Roman;Times;Serif"/>
                <w:sz w:val="20"/>
              </w:rPr>
              <w:t>458,116</w:t>
            </w:r>
          </w:p>
        </w:tc>
        <w:tc>
          <w:tcPr>
            <w:tcW w:w="75"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16,367</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r>
              <w:rPr>
                <w:rFonts w:ascii="Times New Roman;Times;Serif" w:hAnsi="Times New Roman;Times;Serif"/>
                <w:sz w:val="20"/>
              </w:rPr>
              <w:t>1,494,793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r>
              <w:rPr>
                <w:rFonts w:ascii="Times New Roman;Times;Serif" w:hAnsi="Times New Roman;Times;Serif"/>
                <w:sz w:val="20"/>
              </w:rPr>
              <w:t>1,494,793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pPr>
            <w:r>
              <w:rPr/>
              <w:t>△</w:t>
            </w:r>
            <w:r>
              <w:rPr>
                <w:rFonts w:ascii="Times New Roman;Times;Serif" w:hAnsi="Times New Roman;Times;Serif"/>
                <w:sz w:val="20"/>
              </w:rPr>
              <w:t>1,494,793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r>
              <w:rPr>
                <w:rFonts w:ascii="Times New Roman;Times;Serif" w:hAnsi="Times New Roman;Times;Serif"/>
                <w:sz w:val="20"/>
              </w:rPr>
              <w:t>1,494,793</w:t>
            </w:r>
          </w:p>
        </w:tc>
        <w:tc>
          <w:tcPr>
            <w:tcW w:w="75"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Changes in Items Other than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Changes during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992,789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992,789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992,789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r>
              <w:rPr>
                <w:rFonts w:ascii="Times New Roman;Times;Serif" w:hAnsi="Times New Roman;Times;Serif"/>
                <w:sz w:val="20"/>
              </w:rPr>
              <w:t>1,936,540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r>
              <w:rPr>
                <w:rFonts w:ascii="Times New Roman;Times;Serif" w:hAnsi="Times New Roman;Times;Serif"/>
                <w:sz w:val="20"/>
              </w:rPr>
              <w:t>1,936,540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49,038</w:t>
            </w:r>
          </w:p>
        </w:tc>
        <w:tc>
          <w:tcPr>
            <w:tcW w:w="75"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1,227,089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1,507,589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1,889,589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r>
              <w:rPr>
                <w:rFonts w:ascii="Times New Roman;Times;Serif" w:hAnsi="Times New Roman;Times;Serif"/>
                <w:sz w:val="20"/>
              </w:rPr>
              <w:t>3,719,026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r>
              <w:rPr>
                <w:rFonts w:ascii="Times New Roman;Times;Serif" w:hAnsi="Times New Roman;Times;Serif"/>
                <w:sz w:val="20"/>
              </w:rPr>
              <w:t>3,719,026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w:t>
            </w:r>
            <w:r>
              <w:rPr>
                <w:rFonts w:ascii="Times New Roman;Times;Serif" w:hAnsi="Times New Roman;Times;Serif"/>
                <w:sz w:val="20"/>
              </w:rPr>
              <w:t>602,347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r>
              <w:rPr>
                <w:rFonts w:ascii="Times New Roman;Times;Serif" w:hAnsi="Times New Roman;Times;Serif"/>
                <w:sz w:val="20"/>
              </w:rPr>
              <w:t>602,347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Amounts are truncated to the nearest thousand yen.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Accounting treatment is based on U.S. GAAP, while the disclosure line items have been reclassified in accordance with Japanese GAAP.</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Share issuance costs and stock-based compensation expense are amounts deducted from shareholders’ equity under U.S. GAAP.</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audit by the independent auditor has not been completed due to the timing of the U.S. audit period. For audited figures for the fiscal year ended March 31, 2026, please refer to forthcoming public disclosures.</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NON-CONSOLIDATED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Notes on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Valuation Basis and Method for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① </w:t>
      </w:r>
      <w:r>
        <w:rPr>
          <w:rFonts w:ascii="Times New Roman;Times;Serif" w:hAnsi="Times New Roman;Times;Serif"/>
          <w:b/>
          <w:i w:val="false"/>
          <w:caps w:val="false"/>
          <w:smallCaps w:val="false"/>
          <w:sz w:val="20"/>
        </w:rPr>
        <w:t>Other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Equity securities without market prices: Cost method using the moving-average method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Method of Depreciation of Non-Current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① </w:t>
      </w:r>
      <w:r>
        <w:rPr>
          <w:rFonts w:ascii="Times New Roman;Times;Serif" w:hAnsi="Times New Roman;Times;Serif"/>
          <w:b/>
          <w:i w:val="false"/>
          <w:caps w:val="false"/>
          <w:smallCaps w:val="false"/>
          <w:sz w:val="20"/>
        </w:rPr>
        <w:t>Tangible Fixed Assets (excluding Lease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fixtures and structures are depreciated using the straight-line method, while tools, furniture and fixtures are depreciated using the declining-balance method. Principal useful lives are as follows: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Fixtures: 3 to 15 years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Vehicles: 6 years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② </w:t>
      </w:r>
      <w:r>
        <w:rPr>
          <w:rFonts w:ascii="Times New Roman;Times;Serif" w:hAnsi="Times New Roman;Times;Serif"/>
          <w:b/>
          <w:i w:val="false"/>
          <w:caps w:val="false"/>
          <w:smallCaps w:val="false"/>
          <w:sz w:val="20"/>
        </w:rPr>
        <w:t>Intangible Fixed Assets (excluding Lease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straight-line method is applied.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for internal use is amortized using the straight-line method based on the estimated useful life within the Company (5 years).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Basis for Translating Foreign-Currency-Denominated Assets and Liabilities into Japanese Yen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Foreign-currency-denominated monetary receivables and payables are translated into Japanese yen at the spot exchange rate prevailing at the fiscal year-end, and the resulting translation differences are recognized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Basis for Recognition of Revenue and Expenses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“Accounting Standard for Revenue Recognition” (ASBJ Statement No. 29, March 31, 2020) and the “Implementation Guidance on Accounting Standard for Revenue Recognition” (ASBJ Guidance No. 30, March 26, 2021), and recognizes revenue at the amount expected to be received in exchange for promised goods or services when control of such goods or services is transferred to the customer. For revenue with a contractual term, revenue is recognized on a straight-line basis over the contract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Notes to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Accumulated depreciation of tangible fixed assets: JPY 6,789 thousand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Notes to the Statement of Changes in Net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Class and total number of issued shares at the end of the current fiscal year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45,960,000 shares</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Class and number of treasury shares at the end of the current fiscal year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Matters concerning the distribution of surplus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Class and number of shares underlying stock acquisition rights at the end of the current fiscal year (excluding those for which the first day of the exercise period has not yet arrived)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2,268,000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Notes on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Status of Financial Instruments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① </w:t>
      </w:r>
      <w:r>
        <w:rPr>
          <w:rFonts w:ascii="Times New Roman;Times;Serif" w:hAnsi="Times New Roman;Times;Serif"/>
          <w:b/>
          <w:i w:val="false"/>
          <w:caps w:val="false"/>
          <w:smallCaps w:val="false"/>
          <w:sz w:val="20"/>
        </w:rPr>
        <w:t>Policy on Financial Instruments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manages temporary surplus funds primarily through short-term deposits. Necessary funds based on the business plan are raised primarily through the issuance of shares. The Company does not engage in derivative transactions.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② </w:t>
      </w:r>
      <w:r>
        <w:rPr>
          <w:rFonts w:ascii="Times New Roman;Times;Serif" w:hAnsi="Times New Roman;Times;Serif"/>
          <w:b/>
          <w:i w:val="false"/>
          <w:caps w:val="false"/>
          <w:smallCaps w:val="false"/>
          <w:sz w:val="20"/>
        </w:rPr>
        <w:t>Nature of Financial Instruments and Associated Risks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 trade, an operating receivable, are subject to credit risk of customers. Accounts payable - trade, an operating payable, are due within one year.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③ </w:t>
      </w:r>
      <w:r>
        <w:rPr>
          <w:rFonts w:ascii="Times New Roman;Times;Serif" w:hAnsi="Times New Roman;Times;Serif"/>
          <w:b/>
          <w:i w:val="false"/>
          <w:caps w:val="false"/>
          <w:smallCaps w:val="false"/>
          <w:sz w:val="20"/>
        </w:rPr>
        <w:t>Risk Management System for Financial Instruments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operating receivables, the Company has established a system whereby sales personnel manage due dates and balances by customer and ascertain the credit status of customers.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Matters concerning the Fair Value of Financial Instruments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there are no items to be reported with respect to the carrying amount, fair value and differences therein on the balance sheet. Notes are omitted for “Cash and Deposits,” “Accounts Receivable - Trade,” “Consumption Tax Receivable,” “Accounts Payable - Trade,” and “Accounts Payable - Other,” since they are cash or are settled within a short period and their fair values approximate their carrying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securities without market prices included in “Investment Securities” are shown at the following carrying amounts on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Unlisted shares: JPY 133 thousand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Breakdown by appropriate fair value classification of financial instruments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Notes on Tax Effect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deferred tax assets or deferred tax liabilities have been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Notes on Fixed Assets Used through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Notes on 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Information disaggregating revenue arising from contracts with customers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primarily consists of sales of software and e-learning services. The timing of revenue recognition is the point at which goods or services are transferred. For revenue with a contractual term, revenue is recognized on a straight-line basis over the contract period. Net sales for the current fiscal year amounted to JPY 631,198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Information forming the basis for understanding revenue arising from contracts with customers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“1. Notes on Significant Accounting Policies, (4) Basis for Recognition of Revenue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Information for understanding revenue amounts in the current fiscal year and subsequent fiscal years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revenue with a contractual term, amounts to be recognized as revenue in the following and subsequent fiscal years are recorded as deferred revenue and long-term deferred revenue, and will be recognized as revenue in accordance with the contractual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Per Share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Net assets per share: △JPY 13.11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Net loss per share: △JPY 34.15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Notes on Material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Notes on Going Concern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net loss of JPY 1,494,793 thousand for the fiscal year ended March 31, 2026. As a result of such net loss, the accumulated deficit amounted to JPY 3,719,026 thousand as of March 31, 2026. These factors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financial statements have been prepared on a going concern basis, which assumes the realization of assets and the settlement of liabilities in the ordinary course of business. The Company’s ability to continue as a going concern depends on its ability to acquire and retain revenue-generating customers, to secure new customer contracts, and to obtain additional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consider raising additional capital through the issuance of common shares (equity financing), debt financing, or other means. The Company is dependent on acquiring new customer contracts that generate revenue and on securing funding through equity or debt financing, and there is no assurance that such efforts will be successful. The financial statements do not include any adjustments to the recoverability and classification of recorded assets or to the amounts and classification of liabilities that may be necessary should the Company be unable to continue as a going concern.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AUDIT REPORT OF THE BOARD OF STATUTORY AUDITORS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AUDIT REPORT</w:t>
      </w:r>
      <w:r>
        <w:rPr>
          <w:rFonts w:ascii="Times New Roman;Times;Serif" w:hAnsi="Times New Roman;Times;Serif"/>
          <w:b w:val="false"/>
          <w:i w:val="false"/>
          <w:caps w:val="false"/>
          <w:smallCaps w:val="false"/>
          <w:sz w:val="20"/>
          <w:bdr w:val="single" w:sz="8" w:space="7" w:color="000000"/>
        </w:rPr>
        <w:t xml:space="preserve">   With respect to the execution of duties by Directors during the 6th fiscal year from April 1, 2025 to March 31, 2026, the Board of Statutory Auditors has, based on the audit reports prepared by each Statutory Auditor and following deliberation, prepared this Audit Report, and hereby reports as follows.  </w:t>
      </w:r>
    </w:p>
    <w:p>
      <w:pPr>
        <w:pStyle w:val="TextBody"/>
        <w:bidi w:val="0"/>
        <w:spacing w:before="0" w:after="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1. Method and Content of Audit by the Statutory Auditors and the Board of Statutory Auditors</w:t>
      </w:r>
    </w:p>
    <w:p>
      <w:pPr>
        <w:pStyle w:val="TextBody"/>
        <w:bidi w:val="0"/>
        <w:spacing w:before="0" w:after="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(1) The Board of Statutory Auditors established audit policies, division of duties, etc., received reports from each Statutory Auditor regarding the status and results of audits, and received reports from Directors and others regarding the status of their execution of duties, and requested explanations as necessary.</w:t>
      </w:r>
    </w:p>
    <w:p>
      <w:pPr>
        <w:pStyle w:val="TextBody"/>
        <w:bidi w:val="0"/>
        <w:spacing w:before="0" w:after="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(2) Each Statutory Auditor, in accordance with the auditing standards established by the Board of Statutory Auditors and pursuant to the audit policies, division of duties, etc., maintained communication with Directors, the internal audit department, and other employees, etc., endeavored to collect information and develop the audit environment, and conducted audits as follows:</w:t>
      </w:r>
    </w:p>
    <w:p>
      <w:pPr>
        <w:pStyle w:val="TextBody"/>
        <w:bidi w:val="0"/>
        <w:spacing w:before="0" w:after="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360" w:right="0" w:hanging="0"/>
        <w:jc w:val="both"/>
        <w:rPr>
          <w:caps w:val="false"/>
          <w:smallCaps w:val="false"/>
          <w:bdr w:val="single" w:sz="8" w:space="7" w:color="000000"/>
        </w:rPr>
      </w:pPr>
      <w:r>
        <w:rPr>
          <w:caps w:val="false"/>
          <w:smallCaps w:val="false"/>
          <w:bdr w:val="single" w:sz="8" w:space="7" w:color="000000"/>
        </w:rPr>
        <w:t xml:space="preserve">① </w:t>
      </w:r>
      <w:r>
        <w:rPr>
          <w:rFonts w:ascii="Times New Roman;Times;Serif" w:hAnsi="Times New Roman;Times;Serif"/>
          <w:b w:val="false"/>
          <w:i w:val="false"/>
          <w:caps w:val="false"/>
          <w:smallCaps w:val="false"/>
          <w:sz w:val="20"/>
          <w:bdr w:val="single" w:sz="8" w:space="7" w:color="000000"/>
        </w:rPr>
        <w:t>Each Statutory Auditor attended meetings of the Board of Directors and other important meetings, received reports from Directors and employees regarding the status of execution of duties, requested explanations as necessary, inspected important authorization documents, and investigated the status of business and assets at the Head Office.</w:t>
      </w:r>
    </w:p>
    <w:p>
      <w:pPr>
        <w:pStyle w:val="TextBody"/>
        <w:bidi w:val="0"/>
        <w:spacing w:before="0" w:after="0"/>
        <w:ind w:left="36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360" w:right="0" w:hanging="0"/>
        <w:jc w:val="both"/>
        <w:rPr>
          <w:caps w:val="false"/>
          <w:smallCaps w:val="false"/>
          <w:bdr w:val="single" w:sz="8" w:space="7" w:color="000000"/>
        </w:rPr>
      </w:pPr>
      <w:r>
        <w:rPr>
          <w:caps w:val="false"/>
          <w:smallCaps w:val="false"/>
          <w:bdr w:val="single" w:sz="8" w:space="7" w:color="000000"/>
        </w:rPr>
        <w:t xml:space="preserve">② </w:t>
      </w:r>
      <w:r>
        <w:rPr>
          <w:rFonts w:ascii="Times New Roman;Times;Serif" w:hAnsi="Times New Roman;Times;Serif"/>
          <w:b w:val="false"/>
          <w:i w:val="false"/>
          <w:caps w:val="false"/>
          <w:smallCaps w:val="false"/>
          <w:sz w:val="20"/>
          <w:bdr w:val="single" w:sz="8" w:space="7" w:color="000000"/>
        </w:rPr>
        <w:t>Regarding the content of the Board of Directors’ resolutions concerning the development of the systems set forth in Article 100, Paragraphs 1 and 3 of the Ordinance for Enforcement of the Companies Act, which are stipulated in the Business Report as systems necessary to ensure the appropriateness of the systems for ensuring compliance of the execution of duties by Directors with laws and regulations and the Articles of Incorporation, and regarding the systems (internal control systems) developed based on such resolutions, each Statutory Auditor periodically received reports from Directors and employees on the establishment and operation of such systems, requested explanations as necessary, and expressed opinions.   Based on the above method, the Statutory Auditors examined the Business Report and supplementary schedules thereto, the Financial Statements (Balance Sheet, Statement of Operations, Statement of Changes in Net Assets, and Notes to Non-Consolidated Financial Statements) and supplementary schedules thereto for the fiscal year under review.  </w:t>
      </w:r>
    </w:p>
    <w:p>
      <w:pPr>
        <w:pStyle w:val="TextBody"/>
        <w:bidi w:val="0"/>
        <w:spacing w:before="0" w:after="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2. Audit Results</w:t>
      </w:r>
    </w:p>
    <w:p>
      <w:pPr>
        <w:pStyle w:val="TextBody"/>
        <w:bidi w:val="0"/>
        <w:spacing w:before="0" w:after="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(1) Audit Results of the Business Report etc.</w:t>
      </w:r>
    </w:p>
    <w:p>
      <w:pPr>
        <w:pStyle w:val="TextBody"/>
        <w:bidi w:val="0"/>
        <w:spacing w:before="0" w:after="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360" w:right="0" w:hanging="0"/>
        <w:jc w:val="both"/>
        <w:rPr>
          <w:caps w:val="false"/>
          <w:smallCaps w:val="false"/>
          <w:bdr w:val="single" w:sz="8" w:space="7" w:color="000000"/>
        </w:rPr>
      </w:pPr>
      <w:r>
        <w:rPr>
          <w:caps w:val="false"/>
          <w:smallCaps w:val="false"/>
          <w:bdr w:val="single" w:sz="8" w:space="7" w:color="000000"/>
        </w:rPr>
        <w:t xml:space="preserve">① </w:t>
      </w:r>
      <w:r>
        <w:rPr>
          <w:rFonts w:ascii="Times New Roman;Times;Serif" w:hAnsi="Times New Roman;Times;Serif"/>
          <w:b w:val="false"/>
          <w:i w:val="false"/>
          <w:caps w:val="false"/>
          <w:smallCaps w:val="false"/>
          <w:sz w:val="20"/>
          <w:bdr w:val="single" w:sz="8" w:space="7" w:color="000000"/>
        </w:rPr>
        <w:t>The Business Report and supplementary schedules thereto are deemed to correctly indicate the status of the Company in accordance with laws and regulations and the Articles of Incorporation.</w:t>
      </w:r>
    </w:p>
    <w:p>
      <w:pPr>
        <w:pStyle w:val="TextBody"/>
        <w:bidi w:val="0"/>
        <w:spacing w:before="0" w:after="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360" w:right="0" w:hanging="0"/>
        <w:jc w:val="both"/>
        <w:rPr>
          <w:caps w:val="false"/>
          <w:smallCaps w:val="false"/>
          <w:bdr w:val="single" w:sz="8" w:space="7" w:color="000000"/>
        </w:rPr>
      </w:pPr>
      <w:r>
        <w:rPr>
          <w:caps w:val="false"/>
          <w:smallCaps w:val="false"/>
          <w:bdr w:val="single" w:sz="8" w:space="7" w:color="000000"/>
        </w:rPr>
        <w:t xml:space="preserve">② </w:t>
      </w:r>
      <w:r>
        <w:rPr>
          <w:rFonts w:ascii="Times New Roman;Times;Serif" w:hAnsi="Times New Roman;Times;Serif"/>
          <w:b w:val="false"/>
          <w:i w:val="false"/>
          <w:caps w:val="false"/>
          <w:smallCaps w:val="false"/>
          <w:sz w:val="20"/>
          <w:bdr w:val="single" w:sz="8" w:space="7" w:color="000000"/>
        </w:rPr>
        <w:t>With respect to the execution of duties by Directors, no instances of misconduct or material facts in violation of laws and regulations or the Articles of Incorporation have been found.</w:t>
      </w:r>
    </w:p>
    <w:p>
      <w:pPr>
        <w:pStyle w:val="TextBody"/>
        <w:bidi w:val="0"/>
        <w:spacing w:before="0" w:after="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360" w:right="0" w:hanging="0"/>
        <w:jc w:val="both"/>
        <w:rPr>
          <w:caps w:val="false"/>
          <w:smallCaps w:val="false"/>
          <w:bdr w:val="single" w:sz="8" w:space="7" w:color="000000"/>
        </w:rPr>
      </w:pPr>
      <w:r>
        <w:rPr>
          <w:caps w:val="false"/>
          <w:smallCaps w:val="false"/>
          <w:bdr w:val="single" w:sz="8" w:space="7" w:color="000000"/>
        </w:rPr>
        <w:t xml:space="preserve">③ </w:t>
      </w:r>
      <w:r>
        <w:rPr>
          <w:rFonts w:ascii="Times New Roman;Times;Serif" w:hAnsi="Times New Roman;Times;Serif"/>
          <w:b w:val="false"/>
          <w:i w:val="false"/>
          <w:caps w:val="false"/>
          <w:smallCaps w:val="false"/>
          <w:sz w:val="20"/>
          <w:bdr w:val="single" w:sz="8" w:space="7" w:color="000000"/>
        </w:rPr>
        <w:t>The content of the Board of Directors’ resolutions concerning the internal control system is deemed appropriate. Furthermore, no matters requiring attention have been found with respect to the content of the Business Report regarding such internal control system or the execution of duties by Directors.</w:t>
      </w:r>
    </w:p>
    <w:p>
      <w:pPr>
        <w:pStyle w:val="TextBody"/>
        <w:bidi w:val="0"/>
        <w:spacing w:before="0" w:after="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(2) Audit Results of the Financial Statements and Supplementary Schedules Thereto</w:t>
      </w:r>
    </w:p>
    <w:p>
      <w:pPr>
        <w:pStyle w:val="TextBody"/>
        <w:bidi w:val="0"/>
        <w:spacing w:before="0" w:after="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The Financial Statements and supplementary schedules thereto are deemed to fairly present the Company’s financial position and results of operations in all material respects.</w:t>
      </w:r>
    </w:p>
    <w:p>
      <w:pPr>
        <w:pStyle w:val="TextBody"/>
        <w:bidi w:val="0"/>
        <w:spacing w:before="0" w:after="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jc w:val="right"/>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June 9, 2026</w:t>
      </w:r>
    </w:p>
    <w:p>
      <w:pPr>
        <w:pStyle w:val="TextBody"/>
        <w:bidi w:val="0"/>
        <w:spacing w:before="0" w:after="0"/>
        <w:jc w:val="right"/>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Board of Statutory Auditors, Robot Consulting Co., Ltd.</w:t>
      </w:r>
    </w:p>
    <w:p>
      <w:pPr>
        <w:pStyle w:val="TextBody"/>
        <w:bidi w:val="0"/>
        <w:spacing w:before="0" w:after="0"/>
        <w:jc w:val="right"/>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Full-time Statutory Auditor (Outside Statutory Auditor) Atsuo Ogasawara (seal)</w:t>
      </w:r>
    </w:p>
    <w:p>
      <w:pPr>
        <w:pStyle w:val="TextBody"/>
        <w:bidi w:val="0"/>
        <w:spacing w:before="0" w:after="0"/>
        <w:jc w:val="right"/>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Outside Statutory Auditor Masayoshi Takatsu (seal)</w:t>
      </w:r>
    </w:p>
    <w:p>
      <w:pPr>
        <w:pStyle w:val="TextBody"/>
        <w:bidi w:val="0"/>
        <w:spacing w:before="0" w:after="0"/>
        <w:jc w:val="right"/>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Outside Statutory Auditor Mitsuhiro Kashimura (seal)</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 DOCUMENTS FOR THE GENERAL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 Approval of the Financial Statements for the 6th fiscal year (from April 1, 2025 to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Article 438, Paragraph 2 of the Companies Act, the Company hereby requests approval of the Financial Statements for the 6th fiscal year (from April 1, 2025 to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determined that the Financial Statements correctly indicate the Company’s financial position and results of operations in accordance with laws and regulations and the Articles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 Election of One (1) Outside Statutory Auditor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requests the election of one (1) Outside Statutory Auditor. This proposal has been submitted with the consent of the Board of Statutory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Auditor Atsuo Ogasawara will resign upon the conclusion of this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candidate for Statutory Auditor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Masaaki Seki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Birth: June 16, 1959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the Company’s Shares Held: 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Career Summary:</w:t>
      </w:r>
    </w:p>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1340"/>
        <w:gridCol w:w="60"/>
        <w:gridCol w:w="4190"/>
      </w:tblGrid>
      <w:tr>
        <w:trPr/>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1982</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Industrial Bank of Japan, Ltd.</w:t>
            </w:r>
          </w:p>
        </w:tc>
      </w:tr>
      <w:tr>
        <w:trPr/>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2002</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Co., Ltd.</w:t>
            </w:r>
          </w:p>
        </w:tc>
      </w:tr>
      <w:tr>
        <w:trPr/>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2008</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Inc., Senior Vice President</w:t>
            </w:r>
          </w:p>
        </w:tc>
      </w:tr>
      <w:tr>
        <w:trPr/>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2011</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Securities Inc., Internal Audit Department</w:t>
            </w:r>
          </w:p>
        </w:tc>
      </w:tr>
      <w:tr>
        <w:trPr/>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2013</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Nomura Holdings, Inc., Internal Audit Department</w:t>
            </w:r>
          </w:p>
        </w:tc>
      </w:tr>
      <w:tr>
        <w:trPr/>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2019</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SBI SECURITIES Co., Ltd.</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1355"/>
        <w:gridCol w:w="60"/>
        <w:gridCol w:w="4445"/>
      </w:tblGrid>
      <w:tr>
        <w:trPr/>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2020</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bitFlyer Holdings, Inc. and bitFlyer, Inc.</w:t>
            </w:r>
          </w:p>
        </w:tc>
      </w:tr>
      <w:tr>
        <w:trPr/>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2020</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bitFlyer, Inc.</w:t>
            </w:r>
          </w:p>
        </w:tc>
      </w:tr>
      <w:tr>
        <w:trPr/>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2021</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bitFlyer Holdings, Inc.</w:t>
            </w:r>
          </w:p>
        </w:tc>
      </w:tr>
      <w:tr>
        <w:trPr/>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2022</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 bitFlyer Holdings, Inc.</w:t>
            </w:r>
          </w:p>
        </w:tc>
      </w:tr>
      <w:tr>
        <w:trPr/>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2022</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 bitFlyer, Inc.</w:t>
            </w:r>
          </w:p>
        </w:tc>
      </w:tr>
      <w:tr>
        <w:trPr/>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2025</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Advisor, Robot Consulting Co., Ltd. (current position)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There is no special interest between the candidate and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reason for nominating Mr. Seki as a candidate for Outside Statutory Auditor is that the Board of Directors has determined that his abundant experience and broad knowledge as a manager cultivated over many years at other operating companies will be utilized to strengthen the Company’s audit system.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has entered into a Directors and Officers Liability Insurance Policy as prescribed in Article 430-3, Paragraph 1 of the Companies Act with an insurance company. The insured persons under the said policy are the Directors and Statutory Auditors of the Company, and the insured persons do not bear the insurance premium. The said insurance policy compensates for damages arising from claims for damages caused by the execution of duties by the insured persons. However, in order not to impair the appropriateness of the execution of duties by the insured persons, damages caused by intentional misconduct or gross negligence in the execution of duties are not covered. If the candidate is elected as Statutory Auditor and assumes office, he will be included as an insured person under the said policy. The Company plans to renew the policy on the same terms at the next renewal.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 Reduction of the amounts of Stated Capital and Capital Reserve, and Disposition of Surplus (Appropriation for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management strategy, the Company hereby proposes to reduce the amounts of Stated Capital and Capital Reserve pursuant to the provisions of Article 447, Paragraph 1 and Article 448, Paragraph 1 of the Companies Act, and to dispose of surplus pursuant to the provisions of Article 452 of the Companies Act, for the purpose of appropriating the existing deficit in retained earnings carried forward, soundening the Company’s financial position, and ensuring future flexibility and agility in capital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involves a reduction in the amounts of Stated Capital and Capital Reserve without changing the total number of issued shares, and therefore does not affect the number of shares owned by the shareholders. Furthermore, this reduction of Stated Capital and Capital Reserve will not change the Company’s net assets or the total number of issued shares, and consequently will not change the net assets per share.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Reduction of the Amount of Stated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Amount of Reduction in Stated Capital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Stated Capital of JPY 1,227,089,350, JPY 1,127,089,350 shall be reduced, leaving the Stated Capital after reduction at JPY 100,000,000.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capital increase is implemented before the effective date of the reduction of the Stated Capital, the amount of Stated Capital and the amount thereof after reduction will change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Method of Reduction of Stated Capital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reduction shall be made by way of a non-cash reduction without refunding to shareholders, by reducing only the amount of Stated Capital without changing the total number of issued shares, and the entire amount of Stated Capital so reduced shall be transferred to Other Capital Surplus.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Reduction of the Amount of Capital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Amount of Reduction in Capital Reserve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amount of the Capital Reserve of JPY 1,507,589,350 shall be reduced to JPY 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capital increase is implemented before the effective date of the reduction of the Capital Reserve, the amount of Capital Reserve and the amount of Stated Capital after reduction will change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Method of Reduction of Capital Reserve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amount of the reduction in Capital Reserve shall be transferred to Other Capital Surplus.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Content of Disposition of Surplus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effectuation of the reduction of Stated Capital and Capital Reserve as set forth above, JPY 3,016,678,700 out of the Other Capital Surplus of JPY 3,016,678,700 shall be transferred to Retained Earnings Carried Forward to appropriate the deficit. The amount of Other Capital Surplus after such transfer shall be JPY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Effective Date of the Reduction of Stated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 (scheduled)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matter is a transfer between line items within Net Assets, and will not result in any change in the Company’s total Net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4: Partial Amendment to the Articles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prepare for the expansion of the Company’s business and future business development, the Company hereby proposes to amend Article 2 (Purpose) of the current Articles of Incorporation by adding new business purposes, as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(Amendments are underlined.)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73"/>
        <w:gridCol w:w="60"/>
        <w:gridCol w:w="8172"/>
      </w:tblGrid>
      <w:tr>
        <w:trPr/>
        <w:tc>
          <w:tcPr>
            <w:tcW w:w="1973"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Articles</w:t>
            </w:r>
          </w:p>
        </w:tc>
        <w:tc>
          <w:tcPr>
            <w:tcW w:w="60" w:type="dxa"/>
            <w:tcBorders/>
            <w:tcMar>
              <w:bottom w:w="0" w:type="dxa"/>
            </w:tcMar>
            <w:vAlign w:val="center"/>
          </w:tcPr>
          <w:p>
            <w:pPr>
              <w:pStyle w:val="TableContents"/>
              <w:bidi w:val="0"/>
              <w:spacing w:before="0" w:after="283"/>
              <w:jc w:val="left"/>
              <w:rPr/>
            </w:pPr>
            <w:r>
              <w:rPr/>
              <w:t> </w:t>
            </w:r>
          </w:p>
        </w:tc>
        <w:tc>
          <w:tcPr>
            <w:tcW w:w="8172"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Amendment</w:t>
            </w:r>
          </w:p>
        </w:tc>
      </w:tr>
      <w:tr>
        <w:trPr/>
        <w:tc>
          <w:tcPr>
            <w:tcW w:w="19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 Article 2 (omitted) (30) Any and all businesses incidental or related to the foregoing items</w:t>
            </w:r>
          </w:p>
        </w:tc>
        <w:tc>
          <w:tcPr>
            <w:tcW w:w="60" w:type="dxa"/>
            <w:tcBorders/>
            <w:tcMar>
              <w:bottom w:w="0" w:type="dxa"/>
            </w:tcMar>
            <w:vAlign w:val="center"/>
          </w:tcPr>
          <w:p>
            <w:pPr>
              <w:pStyle w:val="TableContents"/>
              <w:bidi w:val="0"/>
              <w:spacing w:before="0" w:after="283"/>
              <w:jc w:val="left"/>
              <w:rPr/>
            </w:pPr>
            <w:r>
              <w:rPr/>
              <w:t> </w:t>
            </w:r>
          </w:p>
        </w:tc>
        <w:tc>
          <w:tcPr>
            <w:tcW w:w="81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 Article 2 (omitted) (30) Sale, purchase, installation, and maintenance management of generators and storage batteries utilizing renewable energy (solar power, solar heat, wind, hydro, geothermal, wave, biomass, waste, etc.) (31) Sale, lease, brokerage, mediation, and management/operation of real estate, as well as consulting services related to real estate transactions (32) Worker dispatching business (33) Paid employment placement business (34) Antique dealer business under the Secondhand Articles Dealer Act (35) Any and all businesses incidental or related to the foregoing items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pPr>
      <w:bookmarkStart w:id="4" w:name="ex99-2.htm"/>
      <w:bookmarkStart w:id="5" w:name="ksex992"/>
      <w:bookmarkEnd w:id="4"/>
      <w:bookmarkEnd w:id="5"/>
      <w:r>
        <w:rPr/>
        <w:t> </w:t>
      </w:r>
      <w:r>
        <w:br w:type="page"/>
      </w:r>
    </w:p>
    <w:p>
      <w:pPr>
        <w:pStyle w:val="TextBody"/>
        <w:bidi w:val="0"/>
        <w:jc w:val="right"/>
        <w:rPr>
          <w:b/>
        </w:rPr>
      </w:pPr>
      <w:r>
        <w:rPr>
          <w:b/>
        </w:rPr>
        <w:t>Exhibit 99.2</w:t>
      </w:r>
    </w:p>
    <w:p>
      <w:pPr>
        <w:pStyle w:val="TextBody"/>
        <w:bidi w:val="0"/>
        <w:jc w:val="center"/>
        <w:rPr/>
      </w:pPr>
      <w:r>
        <w:rPr/>
        <w:t> </w:t>
      </w:r>
      <w:r>
        <w:rPr/>
        <w:drawing>
          <wp:inline distT="0" distB="0" distL="0" distR="0">
            <wp:extent cx="9048750" cy="1170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1170622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9048750" cy="11706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1170622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6617</Words>
  <Characters>36755</Characters>
  <CharactersWithSpaces>43856</CharactersWithSpaces>
  <Paragraphs>1866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