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Suzuki Tomoya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Robot Consulting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LAWR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LE GRATTECIEL BUILDING 2,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6TH FLOOR 5-22-6 SHIMBASHI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MINATO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M0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105-0004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WARD,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Director and CTO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02/07/2026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02/06/2034</w:t>
            </w:r>
          </w:p>
        </w:tc>
        <w:tc>
          <w:tcPr>
            <w:tcW w:w="1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210,000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The exercise price is JPY200 per stock option, or JPY200 per share.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Tomoya Suzuki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011" TargetMode="External"/><Relationship Id="rId11" Type="http://schemas.openxmlformats.org/officeDocument/2006/relationships/hyperlink" Target="http://www.sec.gov/cgi-bin/browse-edgar?action=getcompany&amp;CIK=00020075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2026-03-18T20:49:48Z</dcterms:created>
  <dcterms:modified xsi:type="dcterms:W3CDTF">2026-03-18T20:49:48Z</dcterms:modified>
</cp:coreProperties>
</file>