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6564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65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Aoki Koji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Robot Consulting Co., Ltd.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LAWR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LE GRATTECIEL BUILDING 2,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6TH FLOOR 5-22-6 SHIMBASHI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MINATO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M0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105-0004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9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WARD,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02/07/2026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02/06/2034</w:t>
            </w:r>
          </w:p>
        </w:tc>
        <w:tc>
          <w:tcPr>
            <w:tcW w:w="1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8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42,000</w:t>
            </w:r>
          </w:p>
        </w:tc>
        <w:tc>
          <w:tcPr>
            <w:tcW w:w="9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1. The exercise price is JPY200 per stock option, or JPY200 per share.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Koji Aoki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0009" TargetMode="External"/><Relationship Id="rId11" Type="http://schemas.openxmlformats.org/officeDocument/2006/relationships/hyperlink" Target="http://www.sec.gov/cgi-bin/browse-edgar?action=getcompany&amp;CIK=000200759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2026-03-18T20:40:37Z</dcterms:created>
  <dcterms:modified xsi:type="dcterms:W3CDTF">2026-03-18T20:40:37Z</dcterms:modified>
</cp:coreProperties>
</file>