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20-f.htm"/>
      <w:bookmarkStart w:id="1" w:name="ksform20f"/>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0401__20"/>
      <w:bookmarkEnd w:id="2"/>
      <w:r>
        <w:rPr>
          <w:rFonts w:ascii="Times New Roman;Times;Serif" w:hAnsi="Times New Roman;Times;Serif"/>
          <w:b/>
          <w:i w:val="false"/>
          <w:caps w:val="false"/>
          <w:smallCaps w:val="false"/>
          <w:sz w:val="36"/>
        </w:rPr>
        <w:t>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8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xdx_900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F_edei--CurrentFiscalYearEndDate_c"/>
      <w:bookmarkStart w:id="6" w:name="xdx_904_edei--DocumentPeriodEndDate_c202"/>
      <w:bookmarkEnd w:id="5"/>
      <w:bookmarkEnd w:id="6"/>
      <w:r>
        <w:rPr>
          <w:rFonts w:ascii="Times New Roman;Times;Serif" w:hAnsi="Times New Roman;Times;Serif"/>
          <w:b/>
          <w:i w:val="false"/>
          <w:caps w:val="false"/>
          <w:smallCaps w:val="false"/>
          <w:sz w:val="20"/>
        </w:rPr>
        <w:t xml:space="preserve">March 31, </w:t>
      </w:r>
      <w:bookmarkStart w:id="7" w:name="xdx_904_edei--DocumentFiscalYearFocus_c2"/>
      <w:bookmarkEnd w:id="7"/>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xdx_902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 w:name="xdx_905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2_edei--EntityFileNumber_c20250401"/>
      <w:bookmarkEnd w:id="10"/>
      <w:r>
        <w:rPr>
          <w:rFonts w:ascii="Times New Roman;Times;Serif" w:hAnsi="Times New Roman;Times;Serif"/>
          <w:b w:val="false"/>
          <w:i w:val="false"/>
          <w:caps w:val="false"/>
          <w:smallCaps w:val="false"/>
          <w:sz w:val="20"/>
        </w:rPr>
        <w:t>001-42740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Kabushiki Kaisha Robot Consulting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B_edei--EntityRegistrantName_c2025"/>
      <w:bookmarkEnd w:id="11"/>
      <w:r>
        <w:rPr>
          <w:rFonts w:ascii="Times New Roman;Times;Serif" w:hAnsi="Times New Roman;Times;Serif"/>
          <w:b/>
          <w:i w:val="false"/>
          <w:caps w:val="false"/>
          <w:smallCaps w:val="false"/>
          <w:sz w:val="36"/>
        </w:rPr>
        <w:t>Robot Consulting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C_edei--EntityIncorporationStateCo"/>
      <w:bookmarkEnd w:id="12"/>
      <w:r>
        <w:rPr>
          <w:rFonts w:ascii="Times New Roman;Times;Serif" w:hAnsi="Times New Roman;Times;Serif"/>
          <w:b/>
          <w:i w:val="false"/>
          <w:caps w:val="false"/>
          <w:smallCaps w:val="false"/>
          <w:sz w:val="20"/>
        </w:rPr>
        <w:t>Japan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F_edei--EntityAddressAddressLine1_"/>
      <w:bookmarkStart w:id="14" w:name="xdx_900_edei--EntityAddressAddressLine1_"/>
      <w:bookmarkEnd w:id="13"/>
      <w:bookmarkEnd w:id="14"/>
      <w:r>
        <w:rPr>
          <w:rFonts w:ascii="Times New Roman;Times;Serif" w:hAnsi="Times New Roman;Times;Serif"/>
          <w:b w:val="false"/>
          <w:i w:val="false"/>
          <w:caps w:val="false"/>
          <w:smallCaps w:val="false"/>
          <w:sz w:val="20"/>
        </w:rPr>
        <w:t>Le Gratteciel Building 2, 6th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4_edei--EntityAddressAddressLine2_"/>
      <w:bookmarkStart w:id="16" w:name="xdx_907_edei--EntityAddressAddressLine2_"/>
      <w:bookmarkEnd w:id="15"/>
      <w:bookmarkEnd w:id="16"/>
      <w:r>
        <w:rPr>
          <w:rFonts w:ascii="Times New Roman;Times;Serif" w:hAnsi="Times New Roman;Times;Serif"/>
          <w:b w:val="false"/>
          <w:i w:val="false"/>
          <w:caps w:val="false"/>
          <w:smallCaps w:val="false"/>
          <w:sz w:val="20"/>
        </w:rPr>
        <w:t xml:space="preserve">5-22-6 Shimbashi, </w:t>
      </w:r>
      <w:bookmarkStart w:id="17" w:name="xdx_90F_edei--EntityAddressAddressLine3_"/>
      <w:bookmarkStart w:id="18" w:name="xdx_903_edei--EntityAddressAddressLine3_"/>
      <w:bookmarkEnd w:id="17"/>
      <w:bookmarkEnd w:id="18"/>
      <w:r>
        <w:rPr>
          <w:rFonts w:ascii="Times New Roman;Times;Serif" w:hAnsi="Times New Roman;Times;Serif"/>
          <w:b w:val="false"/>
          <w:i w:val="false"/>
          <w:caps w:val="false"/>
          <w:smallCaps w:val="false"/>
          <w:sz w:val="20"/>
        </w:rPr>
        <w:t>Minato Ward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 w:name="xdx_903_edei--EntityAddressCityOrTown_c2"/>
      <w:bookmarkStart w:id="20" w:name="xdx_90C_edei--EntityAddressCityOrTown_c2"/>
      <w:bookmarkEnd w:id="19"/>
      <w:bookmarkEnd w:id="20"/>
      <w:r>
        <w:rPr>
          <w:rFonts w:ascii="Times New Roman;Times;Serif" w:hAnsi="Times New Roman;Times;Serif"/>
          <w:b w:val="false"/>
          <w:i w:val="false"/>
          <w:caps w:val="false"/>
          <w:smallCaps w:val="false"/>
          <w:sz w:val="20"/>
        </w:rPr>
        <w:t xml:space="preserve">Tokyo, </w:t>
      </w:r>
      <w:bookmarkStart w:id="21" w:name="xdx_902_edei--EntityAddressPostalZipCode"/>
      <w:bookmarkStart w:id="22" w:name="xdx_909_edei--EntityAddressPostalZipCode"/>
      <w:bookmarkEnd w:id="21"/>
      <w:bookmarkEnd w:id="22"/>
      <w:r>
        <w:rPr>
          <w:rFonts w:ascii="Times New Roman;Times;Serif" w:hAnsi="Times New Roman;Times;Serif"/>
          <w:b w:val="false"/>
          <w:i w:val="false"/>
          <w:caps w:val="false"/>
          <w:smallCaps w:val="false"/>
          <w:sz w:val="20"/>
        </w:rPr>
        <w:t xml:space="preserve">105-0004, </w:t>
      </w:r>
      <w:bookmarkStart w:id="23" w:name="xdx_902_edei--EntityAddressCountry_c2025"/>
      <w:bookmarkStart w:id="24" w:name="xdx_90D_edei--EntityAddressCountry_c2025"/>
      <w:bookmarkEnd w:id="23"/>
      <w:bookmarkEnd w:id="24"/>
      <w:r>
        <w:rPr>
          <w:rFonts w:ascii="Times New Roman;Times;Serif" w:hAnsi="Times New Roman;Times;Serif"/>
          <w:b w:val="false"/>
          <w:i w:val="false"/>
          <w:caps w:val="false"/>
          <w:smallCaps w:val="false"/>
          <w:sz w:val="20"/>
        </w:rPr>
        <w:t>Japan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xdx_906_edei--ContactPersonnelName_c2025"/>
      <w:bookmarkEnd w:id="25"/>
      <w:r>
        <w:rPr>
          <w:rFonts w:ascii="Times New Roman;Times;Serif" w:hAnsi="Times New Roman;Times;Serif"/>
          <w:b/>
          <w:i w:val="false"/>
          <w:caps w:val="false"/>
          <w:smallCaps w:val="false"/>
          <w:sz w:val="20"/>
        </w:rPr>
        <w:t>Kanato Asagarasu, Manager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w:t>
      </w:r>
      <w:bookmarkStart w:id="26" w:name="xdx_90A_edei--CityAreaCode_c20250401__20"/>
      <w:bookmarkEnd w:id="26"/>
      <w:r>
        <w:rPr>
          <w:rFonts w:ascii="Times New Roman;Times;Serif" w:hAnsi="Times New Roman;Times;Serif"/>
          <w:b/>
          <w:i w:val="false"/>
          <w:caps w:val="false"/>
          <w:smallCaps w:val="false"/>
          <w:sz w:val="20"/>
        </w:rPr>
        <w:t xml:space="preserve">+81 3 </w:t>
      </w:r>
      <w:bookmarkStart w:id="27" w:name="xdx_903_edei--LocalPhoneNumber_c20250401"/>
      <w:bookmarkEnd w:id="27"/>
      <w:r>
        <w:rPr>
          <w:rFonts w:ascii="Times New Roman;Times;Serif" w:hAnsi="Times New Roman;Times;Serif"/>
          <w:b/>
          <w:i w:val="false"/>
          <w:caps w:val="false"/>
          <w:smallCaps w:val="false"/>
          <w:sz w:val="20"/>
        </w:rPr>
        <w:t>6280 5477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bookmarkStart w:id="28" w:name="xdx_90D_edei--ContactPersonnelEmailAddre"/>
      <w:bookmarkEnd w:id="28"/>
      <w:r>
        <w:rPr>
          <w:rFonts w:ascii="Times New Roman;Times;Serif" w:hAnsi="Times New Roman;Times;Serif"/>
          <w:b/>
          <w:i w:val="false"/>
          <w:caps w:val="false"/>
          <w:smallCaps w:val="false"/>
          <w:sz w:val="20"/>
        </w:rPr>
        <w:t>info@robotconsulting.net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address of the Company set forth above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6"/>
        <w:gridCol w:w="60"/>
        <w:gridCol w:w="1514"/>
        <w:gridCol w:w="60"/>
        <w:gridCol w:w="3405"/>
      </w:tblGrid>
      <w:tr>
        <w:trPr/>
        <w:tc>
          <w:tcPr>
            <w:tcW w:w="516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16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9" w:name="xdx_906_edei--Security12bTitle_c20250401"/>
            <w:bookmarkEnd w:id="29"/>
            <w:r>
              <w:rPr>
                <w:rFonts w:ascii="Times New Roman;Times;Serif" w:hAnsi="Times New Roman;Times;Serif"/>
                <w:b/>
                <w:i w:val="false"/>
                <w:caps w:val="false"/>
                <w:smallCaps w:val="false"/>
                <w:sz w:val="20"/>
              </w:rPr>
              <w:t>American depositary shares, each representing one ordinary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900_edei--TradingSymbol_c20250401__2"/>
            <w:bookmarkEnd w:id="30"/>
            <w:r>
              <w:rPr>
                <w:rFonts w:ascii="Times New Roman;Times;Serif" w:hAnsi="Times New Roman;Times;Serif"/>
                <w:b/>
                <w:i w:val="false"/>
                <w:caps w:val="false"/>
                <w:smallCaps w:val="false"/>
                <w:sz w:val="20"/>
              </w:rPr>
              <w:t>LAWR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1" w:name="xdx_90A_edei--SecurityExchangeName_c2025"/>
            <w:bookmarkEnd w:id="31"/>
            <w:r>
              <w:rPr>
                <w:rFonts w:ascii="Times New Roman;Times;Serif" w:hAnsi="Times New Roman;Times;Serif"/>
                <w:b/>
                <w:i w:val="false"/>
                <w:caps w:val="false"/>
                <w:smallCaps w:val="false"/>
                <w:sz w:val="20"/>
              </w:rPr>
              <w:t>The Nasdaq Stock Market LLC</w:t>
            </w:r>
          </w:p>
        </w:tc>
      </w:tr>
      <w:tr>
        <w:trPr/>
        <w:tc>
          <w:tcPr>
            <w:tcW w:w="516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2" w:name="xdx_90A_edei--Security12bTitle_c20250401"/>
            <w:bookmarkEnd w:id="32"/>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 w:name="xdx_904_edei--NoTradingSymbolFlag_dbT_c2"/>
            <w:bookmarkEnd w:id="33"/>
            <w:r>
              <w:rPr>
                <w:rFonts w:ascii="Times New Roman;Times;Serif" w:hAnsi="Times New Roman;Times;Serif"/>
                <w:b w:val="false"/>
                <w:i w:val="false"/>
                <w:caps w:val="false"/>
                <w:smallCaps w:val="false"/>
                <w:sz w:val="20"/>
              </w:rPr>
              <w:t>NA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4" w:name="xdx_90A_edei--SecurityExchangeName_c2025"/>
            <w:bookmarkEnd w:id="34"/>
            <w:r>
              <w:rPr>
                <w:rFonts w:ascii="Times New Roman;Times;Serif" w:hAnsi="Times New Roman;Times;Serif"/>
                <w:b/>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trading, but only in connection with the registration of the American depositary shares on The Nasdaq Stock Market LLC. Each American depositary share represents one common share.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outstanding shares of each of the issuer’s classes of capital or common stock as of the close of the period covered by the annual report: </w:t>
      </w:r>
      <w:bookmarkStart w:id="35" w:name="xdx_907_edei--EntityCommonStockSharesOut"/>
      <w:bookmarkEnd w:id="35"/>
      <w:r>
        <w:rPr>
          <w:rFonts w:ascii="Times New Roman;Times;Serif" w:hAnsi="Times New Roman;Times;Serif"/>
          <w:b w:val="false"/>
          <w:i w:val="false"/>
          <w:caps w:val="false"/>
          <w:smallCaps w:val="false"/>
          <w:sz w:val="20"/>
        </w:rPr>
        <w:t>45,960,000 ordinary shares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6" w:name="xdx_900_edei--EntityWellKnownSeasonedIss"/>
      <w:bookmarkEnd w:id="3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7" w:name="xdx_90E_edei--EntityVoluntaryFilers_c202"/>
      <w:bookmarkEnd w:id="37"/>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38" w:name="xdx_904_edei--EntityCurrentReportingStat"/>
      <w:bookmarkEnd w:id="3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39" w:name="xdx_90D_edei--EntityInteractiveDataCurre"/>
      <w:bookmarkEnd w:id="3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 w:name="xdx_90D_edei--EntityFilerCategory_c20250"/>
            <w:bookmarkEnd w:id="40"/>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41" w:name="xdx_905_edei--EntityEmergingGrowthCompan"/>
            <w:bookmarkEnd w:id="41"/>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42" w:name="xdx_901_edei--EntityExTransitionPeriod_c"/>
      <w:bookmarkEnd w:id="4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3" w:name="xdx_902_edei--DocumentFinStmtErrorCorrec"/>
      <w:bookmarkEnd w:id="4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8376"/>
        <w:gridCol w:w="703"/>
      </w:tblGrid>
      <w:tr>
        <w:trPr/>
        <w:tc>
          <w:tcPr>
            <w:tcW w:w="1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4" w:name="xdx_906_edei--DocumentAccountingStandard"/>
            <w:bookmarkEnd w:id="44"/>
            <w:r>
              <w:rPr>
                <w:rFonts w:ascii="Times New Roman;Times;Serif" w:hAnsi="Times New Roman;Times;Serif"/>
                <w:b w:val="false"/>
                <w:i w:val="false"/>
                <w:caps w:val="false"/>
                <w:smallCaps w:val="false"/>
                <w:sz w:val="20"/>
              </w:rPr>
              <w:t>U.S. GAAP ☒</w:t>
            </w:r>
          </w:p>
        </w:tc>
        <w:tc>
          <w:tcPr>
            <w:tcW w:w="83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70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w:t>
      </w:r>
      <w:bookmarkStart w:id="45" w:name="xdx_90D_edei--EntityShellCompany_dbF_c20"/>
      <w:bookmarkEnd w:id="4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660" w:type="dxa"/>
        <w:jc w:val="left"/>
        <w:tblInd w:w="0" w:type="dxa"/>
        <w:tblLayout w:type="fixed"/>
        <w:tblCellMar>
          <w:top w:w="0" w:type="dxa"/>
          <w:left w:w="0" w:type="dxa"/>
          <w:bottom w:w="0" w:type="dxa"/>
          <w:right w:w="0" w:type="dxa"/>
        </w:tblCellMar>
      </w:tblPr>
      <w:tblGrid>
        <w:gridCol w:w="950"/>
        <w:gridCol w:w="8405"/>
        <w:gridCol w:w="60"/>
        <w:gridCol w:w="245"/>
      </w:tblGrid>
      <w:tr>
        <w:trPr/>
        <w:tc>
          <w:tcPr>
            <w:tcW w:w="9355" w:type="dxa"/>
            <w:gridSpan w:val="2"/>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INTRODUCTION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5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PART 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35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405"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405"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OFFER STATISTICS AND EXPECTED TIMETABLE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405"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KEY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405"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INFORMATION ON THE COMPANY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8405" w:type="dxa"/>
            <w:tcBorders/>
            <w:shd w:fill="CCEE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UNRESOLVED STAFF COMMENTS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405"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OPERATING AND FINANCIAL REVIEW AND PROSPECTS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405" w:type="dxa"/>
            <w:tcBorders/>
            <w:shd w:fill="CCEE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DIRECTORS, SENIOR MANAGEMENT AND EMPLOYEES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405" w:type="dxa"/>
            <w:tcBorders/>
            <w:shd w:fill="CCEE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MAJOR SHAREHOLDERS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405" w:type="dxa"/>
            <w:tcBorders/>
            <w:shd w:fill="CCEE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405" w:type="dxa"/>
            <w:tcBorders/>
            <w:shd w:fill="CCEEFF" w:val="clear"/>
            <w:vAlign w:val="center"/>
          </w:tcPr>
          <w:p>
            <w:pPr>
              <w:pStyle w:val="TableContents"/>
              <w:bidi w:val="0"/>
              <w:spacing w:before="0" w:after="283"/>
              <w:jc w:val="left"/>
              <w:rPr/>
            </w:pPr>
            <w:hyperlink w:anchor="sh_012">
              <w:r>
                <w:rPr>
                  <w:rStyle w:val="InternetLink"/>
                  <w:rFonts w:ascii="Times New Roman;Times;Serif" w:hAnsi="Times New Roman;Times;Serif"/>
                  <w:b w:val="false"/>
                  <w:i w:val="false"/>
                  <w:caps w:val="false"/>
                  <w:smallCaps w:val="false"/>
                  <w:sz w:val="20"/>
                </w:rPr>
                <w:t>THE OFFER AND LISTING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405" w:type="dxa"/>
            <w:tcBorders/>
            <w:shd w:fill="CCEEFF" w:val="clear"/>
            <w:vAlign w:val="center"/>
          </w:tcPr>
          <w:p>
            <w:pPr>
              <w:pStyle w:val="TableContents"/>
              <w:bidi w:val="0"/>
              <w:spacing w:before="0" w:after="283"/>
              <w:jc w:val="left"/>
              <w:rPr/>
            </w:pPr>
            <w:hyperlink w:anchor="sh_013">
              <w:r>
                <w:rPr>
                  <w:rStyle w:val="InternetLink"/>
                  <w:rFonts w:ascii="Times New Roman;Times;Serif" w:hAnsi="Times New Roman;Times;Serif"/>
                  <w:b w:val="false"/>
                  <w:i w:val="false"/>
                  <w:caps w:val="false"/>
                  <w:smallCaps w:val="false"/>
                  <w:sz w:val="20"/>
                </w:rPr>
                <w:t>ADDITIONAL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405" w:type="dxa"/>
            <w:tcBorders/>
            <w:shd w:fill="CCEEFF" w:val="clear"/>
            <w:vAlign w:val="center"/>
          </w:tcPr>
          <w:p>
            <w:pPr>
              <w:pStyle w:val="TableContents"/>
              <w:bidi w:val="0"/>
              <w:spacing w:before="0" w:after="283"/>
              <w:jc w:val="left"/>
              <w:rPr/>
            </w:pPr>
            <w:hyperlink w:anchor="sh_01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405" w:type="dxa"/>
            <w:tcBorders/>
            <w:shd w:fill="CCEEFF" w:val="clear"/>
            <w:vAlign w:val="center"/>
          </w:tcPr>
          <w:p>
            <w:pPr>
              <w:pStyle w:val="TableContents"/>
              <w:bidi w:val="0"/>
              <w:spacing w:before="0" w:after="283"/>
              <w:jc w:val="left"/>
              <w:rPr/>
            </w:pPr>
            <w:hyperlink w:anchor="sh_015">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left"/>
              <w:rPr/>
            </w:pPr>
            <w:hyperlink w:anchor="sh_017">
              <w:r>
                <w:rPr>
                  <w:rStyle w:val="InternetLink"/>
                  <w:rFonts w:ascii="Times New Roman;Times;Serif" w:hAnsi="Times New Roman;Times;Serif"/>
                  <w:b w:val="false"/>
                  <w:i w:val="false"/>
                  <w:caps w:val="false"/>
                  <w:smallCaps w:val="false"/>
                  <w:sz w:val="20"/>
                </w:rPr>
                <w:t>PART 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35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405" w:type="dxa"/>
            <w:tcBorders/>
            <w:shd w:fill="CCEEFF" w:val="clear"/>
            <w:vAlign w:val="center"/>
          </w:tcPr>
          <w:p>
            <w:pPr>
              <w:pStyle w:val="TableContents"/>
              <w:bidi w:val="0"/>
              <w:spacing w:before="0" w:after="283"/>
              <w:jc w:val="left"/>
              <w:rPr/>
            </w:pPr>
            <w:hyperlink w:anchor="sh_016">
              <w:r>
                <w:rPr>
                  <w:rStyle w:val="InternetLink"/>
                  <w:rFonts w:ascii="Times New Roman;Times;Serif" w:hAnsi="Times New Roman;Times;Serif"/>
                  <w:b w:val="false"/>
                  <w:i w:val="false"/>
                  <w:caps w:val="false"/>
                  <w:smallCaps w:val="false"/>
                  <w:sz w:val="20"/>
                </w:rPr>
                <w:t>DEFAULTS, DIVIDEND ARREARAGES AND DELINQUENCIES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405" w:type="dxa"/>
            <w:tcBorders/>
            <w:shd w:fill="CCEEFF" w:val="clear"/>
            <w:vAlign w:val="center"/>
          </w:tcPr>
          <w:p>
            <w:pPr>
              <w:pStyle w:val="TableContents"/>
              <w:bidi w:val="0"/>
              <w:spacing w:before="0" w:after="283"/>
              <w:jc w:val="left"/>
              <w:rPr/>
            </w:pPr>
            <w:hyperlink w:anchor="sh_018">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405" w:type="dxa"/>
            <w:tcBorders/>
            <w:shd w:fill="CCEEFF" w:val="clear"/>
            <w:vAlign w:val="center"/>
          </w:tcPr>
          <w:p>
            <w:pPr>
              <w:pStyle w:val="TableContents"/>
              <w:bidi w:val="0"/>
              <w:spacing w:before="0" w:after="283"/>
              <w:jc w:val="left"/>
              <w:rPr/>
            </w:pPr>
            <w:hyperlink w:anchor="sh_019">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405" w:type="dxa"/>
            <w:tcBorders/>
            <w:shd w:fill="CCEEFF" w:val="clear"/>
            <w:vAlign w:val="center"/>
          </w:tcPr>
          <w:p>
            <w:pPr>
              <w:pStyle w:val="TableContents"/>
              <w:bidi w:val="0"/>
              <w:spacing w:before="0" w:after="283"/>
              <w:jc w:val="left"/>
              <w:rPr/>
            </w:pPr>
            <w:hyperlink w:anchor="sh_020">
              <w:r>
                <w:rPr>
                  <w:rStyle w:val="InternetLink"/>
                  <w:rFonts w:ascii="Times New Roman;Times;Serif" w:hAnsi="Times New Roman;Times;Serif"/>
                  <w:b w:val="false"/>
                  <w:i w:val="false"/>
                  <w:caps w:val="false"/>
                  <w:smallCaps w:val="false"/>
                  <w:sz w:val="20"/>
                </w:rPr>
                <w:t>[RESERVED]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16A.</w:t>
            </w:r>
          </w:p>
        </w:tc>
        <w:tc>
          <w:tcPr>
            <w:tcW w:w="8405" w:type="dxa"/>
            <w:tcBorders/>
            <w:shd w:fill="CCEEFF" w:val="clear"/>
            <w:vAlign w:val="center"/>
          </w:tcPr>
          <w:p>
            <w:pPr>
              <w:pStyle w:val="TableContents"/>
              <w:bidi w:val="0"/>
              <w:spacing w:before="0" w:after="283"/>
              <w:jc w:val="left"/>
              <w:rPr/>
            </w:pPr>
            <w:hyperlink w:anchor="sh_021">
              <w:r>
                <w:rPr>
                  <w:rStyle w:val="InternetLink"/>
                  <w:rFonts w:ascii="Times New Roman;Times;Serif" w:hAnsi="Times New Roman;Times;Serif"/>
                  <w:b w:val="false"/>
                  <w:i w:val="false"/>
                  <w:caps w:val="false"/>
                  <w:smallCaps w:val="false"/>
                  <w:sz w:val="20"/>
                </w:rPr>
                <w:t>AUDIT COMMITTEE FINANCIAL EXPERT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8405" w:type="dxa"/>
            <w:tcBorders/>
            <w:shd w:fill="CCEEFF" w:val="clear"/>
            <w:vAlign w:val="center"/>
          </w:tcPr>
          <w:p>
            <w:pPr>
              <w:pStyle w:val="TableContents"/>
              <w:bidi w:val="0"/>
              <w:spacing w:before="0" w:after="283"/>
              <w:jc w:val="left"/>
              <w:rPr/>
            </w:pPr>
            <w:hyperlink w:anchor="sh_022">
              <w:r>
                <w:rPr>
                  <w:rStyle w:val="InternetLink"/>
                  <w:rFonts w:ascii="Times New Roman;Times;Serif" w:hAnsi="Times New Roman;Times;Serif"/>
                  <w:b w:val="false"/>
                  <w:i w:val="false"/>
                  <w:caps w:val="false"/>
                  <w:smallCaps w:val="false"/>
                  <w:sz w:val="20"/>
                </w:rPr>
                <w:t>CODE OF ETHICS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8405" w:type="dxa"/>
            <w:tcBorders/>
            <w:shd w:fill="CCEEFF" w:val="clear"/>
            <w:vAlign w:val="center"/>
          </w:tcPr>
          <w:p>
            <w:pPr>
              <w:pStyle w:val="TableContents"/>
              <w:bidi w:val="0"/>
              <w:spacing w:before="0" w:after="283"/>
              <w:jc w:val="left"/>
              <w:rPr/>
            </w:pPr>
            <w:hyperlink w:anchor="sh_023">
              <w:r>
                <w:rPr>
                  <w:rStyle w:val="InternetLink"/>
                  <w:rFonts w:ascii="Times New Roman;Times;Serif" w:hAnsi="Times New Roman;Times;Serif"/>
                  <w:b w:val="false"/>
                  <w:i w:val="false"/>
                  <w:caps w:val="false"/>
                  <w:smallCaps w:val="false"/>
                  <w:sz w:val="20"/>
                </w:rPr>
                <w:t>PRINCIPAL ACCOUNTANT FEES AND SERVICES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8405" w:type="dxa"/>
            <w:tcBorders/>
            <w:shd w:fill="CCEEFF" w:val="clear"/>
            <w:vAlign w:val="center"/>
          </w:tcPr>
          <w:p>
            <w:pPr>
              <w:pStyle w:val="TableContents"/>
              <w:bidi w:val="0"/>
              <w:spacing w:before="0" w:after="283"/>
              <w:jc w:val="left"/>
              <w:rPr/>
            </w:pPr>
            <w:hyperlink w:anchor="sh_024">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8405" w:type="dxa"/>
            <w:tcBorders/>
            <w:shd w:fill="CCEEFF" w:val="clear"/>
            <w:vAlign w:val="center"/>
          </w:tcPr>
          <w:p>
            <w:pPr>
              <w:pStyle w:val="TableContents"/>
              <w:bidi w:val="0"/>
              <w:spacing w:before="0" w:after="283"/>
              <w:jc w:val="left"/>
              <w:rPr/>
            </w:pPr>
            <w:hyperlink w:anchor="sh_025">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8405" w:type="dxa"/>
            <w:tcBorders/>
            <w:shd w:fill="CCEEFF" w:val="clear"/>
            <w:vAlign w:val="center"/>
          </w:tcPr>
          <w:p>
            <w:pPr>
              <w:pStyle w:val="TableContents"/>
              <w:bidi w:val="0"/>
              <w:spacing w:before="0" w:after="283"/>
              <w:jc w:val="left"/>
              <w:rPr/>
            </w:pPr>
            <w:hyperlink w:anchor="sh_026">
              <w:r>
                <w:rPr>
                  <w:rStyle w:val="InternetLink"/>
                  <w:rFonts w:ascii="Times New Roman;Times;Serif" w:hAnsi="Times New Roman;Times;Serif"/>
                  <w:b w:val="false"/>
                  <w:i w:val="false"/>
                  <w:caps w:val="false"/>
                  <w:smallCaps w:val="false"/>
                  <w:sz w:val="20"/>
                </w:rPr>
                <w:t>CHANGE IN REGISTRANT’S CERTIFYING ACCOUNTANT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8405" w:type="dxa"/>
            <w:tcBorders/>
            <w:shd w:fill="CCEEFF" w:val="clear"/>
            <w:vAlign w:val="center"/>
          </w:tcPr>
          <w:p>
            <w:pPr>
              <w:pStyle w:val="TableContents"/>
              <w:bidi w:val="0"/>
              <w:spacing w:before="0" w:after="283"/>
              <w:jc w:val="left"/>
              <w:rPr/>
            </w:pPr>
            <w:hyperlink w:anchor="sh_027">
              <w:r>
                <w:rPr>
                  <w:rStyle w:val="InternetLink"/>
                  <w:rFonts w:ascii="Times New Roman;Times;Serif" w:hAnsi="Times New Roman;Times;Serif"/>
                  <w:b w:val="false"/>
                  <w:i w:val="false"/>
                  <w:caps w:val="false"/>
                  <w:smallCaps w:val="false"/>
                  <w:sz w:val="20"/>
                </w:rPr>
                <w:t>CORPORATE GOVERNANCE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8405" w:type="dxa"/>
            <w:tcBorders/>
            <w:shd w:fill="CCEEFF" w:val="clear"/>
            <w:vAlign w:val="center"/>
          </w:tcPr>
          <w:p>
            <w:pPr>
              <w:pStyle w:val="TableContents"/>
              <w:bidi w:val="0"/>
              <w:spacing w:before="0" w:after="283"/>
              <w:jc w:val="left"/>
              <w:rPr/>
            </w:pPr>
            <w:hyperlink w:anchor="sh_028">
              <w:r>
                <w:rPr>
                  <w:rStyle w:val="InternetLink"/>
                  <w:rFonts w:ascii="Times New Roman;Times;Serif" w:hAnsi="Times New Roman;Times;Serif"/>
                  <w:b w:val="false"/>
                  <w:i w:val="false"/>
                  <w:caps w:val="false"/>
                  <w:smallCaps w:val="false"/>
                  <w:sz w:val="20"/>
                </w:rPr>
                <w:t>MINE SAFETY DISCLOSURE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8405" w:type="dxa"/>
            <w:tcBorders/>
            <w:shd w:fill="CCEEFF" w:val="clear"/>
            <w:vAlign w:val="center"/>
          </w:tcPr>
          <w:p>
            <w:pPr>
              <w:pStyle w:val="TableContents"/>
              <w:bidi w:val="0"/>
              <w:spacing w:before="0" w:after="283"/>
              <w:jc w:val="left"/>
              <w:rPr/>
            </w:pPr>
            <w:hyperlink w:anchor="sh_029">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16J.</w:t>
            </w:r>
          </w:p>
        </w:tc>
        <w:tc>
          <w:tcPr>
            <w:tcW w:w="8405" w:type="dxa"/>
            <w:tcBorders/>
            <w:shd w:fill="CCEEFF" w:val="clear"/>
            <w:vAlign w:val="center"/>
          </w:tcPr>
          <w:p>
            <w:pPr>
              <w:pStyle w:val="TableContents"/>
              <w:bidi w:val="0"/>
              <w:spacing w:before="0" w:after="283"/>
              <w:jc w:val="left"/>
              <w:rPr/>
            </w:pPr>
            <w:hyperlink w:anchor="sh_030">
              <w:r>
                <w:rPr>
                  <w:rStyle w:val="InternetLink"/>
                  <w:rFonts w:ascii="Times New Roman;Times;Serif" w:hAnsi="Times New Roman;Times;Serif"/>
                  <w:b w:val="false"/>
                  <w:i w:val="false"/>
                  <w:caps w:val="false"/>
                  <w:smallCaps w:val="false"/>
                  <w:sz w:val="20"/>
                </w:rPr>
                <w:t>INSIDER TRADING POLICIES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8405" w:type="dxa"/>
            <w:tcBorders/>
            <w:shd w:fill="CCEEFF" w:val="clear"/>
            <w:vAlign w:val="center"/>
          </w:tcPr>
          <w:p>
            <w:pPr>
              <w:pStyle w:val="TableContents"/>
              <w:bidi w:val="0"/>
              <w:spacing w:before="0" w:after="283"/>
              <w:jc w:val="left"/>
              <w:rPr/>
            </w:pPr>
            <w:hyperlink w:anchor="sh_031">
              <w:r>
                <w:rPr>
                  <w:rStyle w:val="InternetLink"/>
                  <w:rFonts w:ascii="Times New Roman;Times;Serif" w:hAnsi="Times New Roman;Times;Serif"/>
                  <w:b w:val="false"/>
                  <w:i w:val="false"/>
                  <w:caps w:val="false"/>
                  <w:smallCaps w:val="false"/>
                  <w:sz w:val="20"/>
                </w:rPr>
                <w:t>CYBERSECURITY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left"/>
              <w:rPr/>
            </w:pPr>
            <w:hyperlink w:anchor="sh_032">
              <w:r>
                <w:rPr>
                  <w:rStyle w:val="InternetLink"/>
                  <w:rFonts w:ascii="Times New Roman;Times;Serif" w:hAnsi="Times New Roman;Times;Serif"/>
                  <w:b w:val="false"/>
                  <w:i w:val="false"/>
                  <w:caps w:val="false"/>
                  <w:smallCaps w:val="false"/>
                  <w:sz w:val="20"/>
                </w:rPr>
                <w:t>PART III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35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8405" w:type="dxa"/>
            <w:tcBorders/>
            <w:shd w:fill="CCEEFF" w:val="clear"/>
            <w:vAlign w:val="center"/>
          </w:tcPr>
          <w:p>
            <w:pPr>
              <w:pStyle w:val="TableContents"/>
              <w:bidi w:val="0"/>
              <w:spacing w:before="0" w:after="283"/>
              <w:jc w:val="left"/>
              <w:rPr/>
            </w:pPr>
            <w:hyperlink w:anchor="sh_033">
              <w:r>
                <w:rPr>
                  <w:rStyle w:val="InternetLink"/>
                  <w:rFonts w:ascii="Times New Roman;Times;Serif" w:hAnsi="Times New Roman;Times;Serif"/>
                  <w:b w:val="false"/>
                  <w:i w:val="false"/>
                  <w:caps w:val="false"/>
                  <w:smallCaps w:val="false"/>
                  <w:sz w:val="20"/>
                </w:rPr>
                <w:t>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8405" w:type="dxa"/>
            <w:tcBorders/>
            <w:shd w:fill="CCEEFF" w:val="clear"/>
            <w:vAlign w:val="center"/>
          </w:tcPr>
          <w:p>
            <w:pPr>
              <w:pStyle w:val="TableContents"/>
              <w:bidi w:val="0"/>
              <w:spacing w:before="0" w:after="283"/>
              <w:jc w:val="left"/>
              <w:rPr/>
            </w:pPr>
            <w:hyperlink w:anchor="sh_034">
              <w:r>
                <w:rPr>
                  <w:rStyle w:val="InternetLink"/>
                  <w:rFonts w:ascii="Times New Roman;Times;Serif" w:hAnsi="Times New Roman;Times;Serif"/>
                  <w:b w:val="false"/>
                  <w:i w:val="false"/>
                  <w:caps w:val="false"/>
                  <w:smallCaps w:val="false"/>
                  <w:sz w:val="20"/>
                </w:rPr>
                <w:t>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8405" w:type="dxa"/>
            <w:tcBorders/>
            <w:shd w:fill="CCEEFF" w:val="clear"/>
            <w:vAlign w:val="center"/>
          </w:tcPr>
          <w:p>
            <w:pPr>
              <w:pStyle w:val="TableContents"/>
              <w:bidi w:val="0"/>
              <w:spacing w:before="0" w:after="283"/>
              <w:jc w:val="left"/>
              <w:rPr/>
            </w:pPr>
            <w:hyperlink w:anchor="sh_035">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sh_001"/>
      <w:bookmarkEnd w:id="46"/>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ADRs” are to the American Depositary Receipts that may evidence the ADSs (defined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the American Depositary Shares, each of which represents one Common Share (defined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are to artificial intelligence;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Certified Consultant” are to a certified social insurance and labor consultant (Shakai Hoken Roumu Shi, or Sharoushi), an expert in personnel and labor management who, once he or she passed the national examination, is qualified to provide consultation, guidance, and other services relating to employment, social insurance, and labor laws and regulations in Japan, as well as labor dispute resolutions, pursuant to the Certified Social Insurance and Labor Consultant Act (Act No. 89 of 1968, as amended);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Certified Consultant Corporation” are to a special corporation, similar to an unlimited partnership under the Commercial Code of Japan, whose members are limited to Certified Consultants who are jointly and severally liable to third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CJK Group” are to CJK Group Inc., an Arizona corporation which provides legal outsourcing services in the U.S. and Japan;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Digitalization &amp; AI Implementation Subsidy,” are to the Digitalization &amp; AI Implementation Subsidy (Digitaruka AI Donyu Hojokin) provided by METI (defined below), which term was formerly referred to as the “IT system installation subsidy” in previous filings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are to the Securities Exchange Act of 1934,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JPY” or “¥” are to Japanese yen, the legal currency of Japan;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LLM” are to large language model;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METI” are to the Ministry of Economy, Trade, and Industry of Japan;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metaverse” or “Metaverse” are to a highly immersive virtual environment where participating users may gather to interact with one another regardless of physical location;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MHLW” are to the Ministry of Health, Labor, and Welfare of Japan;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are to the ordinary shares of Robot Consulting;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Robot Consulting” are to Robot Consulting Co., Ltd., a joint-stock corporation (</w:t>
            </w:r>
            <w:r>
              <w:rPr>
                <w:rFonts w:ascii="Times New Roman;Times;Serif" w:hAnsi="Times New Roman;Times;Serif"/>
                <w:b w:val="false"/>
                <w:i/>
                <w:caps w:val="false"/>
                <w:smallCaps w:val="false"/>
                <w:sz w:val="20"/>
              </w:rPr>
              <w:t>kabushiki kaisha</w:t>
            </w:r>
            <w:r>
              <w:rPr>
                <w:rFonts w:ascii="Times New Roman;Times;Serif" w:hAnsi="Times New Roman;Times;Serif"/>
                <w:b w:val="false"/>
                <w:i w:val="false"/>
                <w:caps w:val="false"/>
                <w:smallCaps w:val="false"/>
                <w:sz w:val="20"/>
              </w:rPr>
              <w:t>) with limited liability organized under Japanese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are to the U.S.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are to the Securities Act of 1933,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 and “dollars” are to the legal currency of the United States;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“our Company,” or the “Company” are to Robot Consulting and its subsidiaries,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includes our audited consolidated financial statements for the fiscal years ended March 31, 2026, 2025, and 2024. Our functional currency and reporting currency is JPY. Convenience translations included in this annual report of JPY into U.S. dollars have been made at the exchange rate of JPY159.08 = $1.00, which was the foreign exchange rate on March 31, 2026, as reported by the Board of Governors of the Federal Reserve System (the “U.S. Federal Reserve”) in its weekly release on April 6, 2026. Historical and current exchange rate information may be found at https://www.federalreserve.gov/releases/h10/.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rounding adjustments to some of the figures included in this annual report. Accordingly, numerical figures shown as totals in some tables may not be an arithmetic aggregation of the figures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February 5, 2024, our shareholders approved a 1,000-for-1 share split of its issued and outstanding Ordinary Shares. In connection with the share split, the total number of outstanding Ordinary Shares on such date increased from 7,035 to 7,035,000.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December 19, 2024, the Company’s board of directors approved (i) a 6-for-1 share split of its issued and outstanding Ordinary Shares, and (ii) the increase of the number of authorized shares from 28,000,000 to 168,000,000. In connection with the share split, the total number of outstanding Ordinary Shares on such date increased from 7,035,000 to 42,210,000. Such share split and increase of the number of authorized shares became effective on January 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annual report have been presented to give effect to (i) the 1,000-for-1 share split of our Ordinary Shares which became effective on February 5, 2024, (ii) the increase of the number of authorized shares from 28,000,000 to 168,000,000, which became effective on January 7, 2025, and (iii) the 6-for-1 share split of our Ordinary Shares, which became effective on January 7, 2025.</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sh_002"/>
      <w:bookmarkEnd w:id="47"/>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 w:name="sh_003"/>
      <w:bookmarkEnd w:id="48"/>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sh_004"/>
      <w:bookmarkEnd w:id="49"/>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 w:name="sh_005"/>
      <w:bookmarkEnd w:id="50"/>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will likely incur substantial additional expenses and operating losses in the future. We may continue to be unprofitable for an extended period of time. Management has concluded that there is, and the report of our independent registered public accounting firm contains an explanatory paragraph that expresses,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loss of JPY1,489,414 thousand (approximately $9.4 million), JPY534,685 thousand, and JPY661,966 thousand for the fiscal years ended March 31, 2026, 2025, and 2024, respectively. This operating loss has resulted in an accumulated deficit of JPY3,271,899 thousand (approximately $20.6 million), JPY1,782,485 thousand, and JPY1,247,800 thousand as of March 31, 2026, 2025, and 2024, respectively. These factors raise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consider obtaining additional financing in the future through the issuance of our Ordinary Shares, through other equity or debt financings, or other means. However, we are dependent upon our ability to obtain new revenue generating customer contracts, secure equity and/or debt financing and there are no assurances that we will be successful. As a result of the above, there is material uncertainty related to events or conditions that may cast significant doubt (or raise substantial doubt as contemplated by PCAOB standards) on our ability to continue as a going concern, and therefore, we may be unable to realize our assets and discharge our liabilities in the normal course of business. The financial statements do not include any adjustments that might result from the outcome of this uncertainty. If we were to be unable to continue as a going concern, or if there were to be continued doubt about our ability to do so, the value of your investment would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makes it difficult to evaluate our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been in operation since 2020 and, therefore, have limited operating history with respect to each of our principal products. We commenced selling our Labor Robot in September 2022. The number of Labor Robot users grew to 483 users as of March 31, 2024, and to 536 users as of March 31, 2025, with 53 new users added during the fiscal year ended March 31, 2025. The number of Labor Robot users further grew to 715 as of March 31, 2026, with 179 new users added during the fiscal year ended March 31, 2026. While a significant part of our revenue for the last three fiscal years derived from the sales of Labor Robot and consulting and support services, for the fiscal year ending March 31, 2027, we plan to promote Robot Lawyer as our principal product. Our future success will require us to further expand our customer and user base and scale up the sales of Labor Robot, e-learning services, software installation services, and our new products. Our business model and ability to attract more customers are unproven. To address the risks, we must, among other things, continue to (i) expand our sales and distribution channel, (ii) maintain and further develop business relationships with our existing and potential customers, and (iii) improve public relations and brand awareness and enhance customer loyalty. We cannot assure you that we will be successful in addressing such risks. Although we have experienced revenue growth, given that we discontinued products and services which had significantly generated revenues during the last three fiscal years, we cannot assure you that our revenue will increase at previous rates or at all, or that we will be able to operate profitably in future periods. Our limited operating history makes the prediction of future results of operations difficult, and therefore, past revenue growth experienced by us should not be taken as indicative of the rate of revenue growth, if any, that can be expected in the future. We believe that period to period comparisons of our operating results are not meaningful and that the results for any period should not be relied upon as an indication of future performance. You should consider our business and prospects in light of the risks, uncertainties, expenses, and challenges that we will face as an early-stage company seeking to sell new products in a volatile and challenging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participate are intensely competitive, and if we do not compete effectively, our operating results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human resource and financial management platforms, AI legal consultation chat service providers, bill payment and invoice management service providers, business-to-business e-learning, and other digital transformation-related consulting services for small and medium-sized businesses in Japan are highly competitive, with relatively low barriers to entry. Our primary competitors in the Japanese market for Labor Robot are Yayoi Co., Ltd. (“Yayoi”) and freee K.K. (“freee”), well-established providers of human resource and financial management platforms, which have long-standing relationships with many customers. Other competitors include Jobcan, operated by Donuts Co., Ltd. and SmartHR. Inc. Prospective customers may be hesitant to adopt a cloud-based platform such as ours and may prefer to upgrade the more familiar applications offered by these vendors that are deployed on their premises. For other services, our competitors include WriteUp Co., Ltd., a company listed on the Tokyo Stock Exchange, which similarly offers products and services, including AI-related e-learning courses and grant and subsidy application support for small and medium-sized businesses. For Robot Lawyer, our most direct domestic competitor is Bengo4.com, Inc. (TYO:6027), which offers a consumer-oriented AI legal consultation chat service leveraging over 1.25 million consultation records accumulated on its “Minna no Houso Soudan” platform. In addition, the legal office portal, “Bennaví,” provides an AI chatbot as a consultation channel, and for general-purpose AI applications such as ChatGPT. Such entities serve as de facto competitors, as consumers may use them to seek initial legal guidance at no cost. For Billing Robot, our primary direct competitor in the bill payment service provider (“BPSP”) sector includes Shiharai.com, a service jointly provided by UPSIDER Inc. and Credit Saison Co., Ltd. Invoice Card Payment by GMO, a B2B invoice card payment service provided by GMO Payment Gateway, Inc., is another established provider of such services with whom we may compete. See “Item 4. Information on the Company—B. Business Overview—Competition”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competitors are larger companies and have greater brand recognition, much longer operating histories, larger marketing budgets and significantly greater resources than we do. These vendors, as well as other competitors, may offer products and services on a stand-alone basis at a low price or bundled as part of a larger product sale. In order to take advantage of customer demand for their products and services, they may have greater capacity to expand their products and services through acquisitions and organic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face competition from large national and overseas cloud-based accounting platform service providers that have also started to enter into the Japanese market, such as QuickBooks, and from a variety of vendors of cloud-based and on premises software applications that address only a portion of one of our applications. In addition, other companies that provide cloud-based applications in different target markets, such as Salesforce.com and NetSuite, may develop applications or acquire companies that operate in our target markets, and some potential customers may elect to develop their own internal applications. With the introduction of new technologies and market entrants, we expect this competition to intensify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In addition, many of our competitors have established marketing relationships, access to larger customer bases and major distribution agreements with consultants, system integrators and resellers. Our competitors may also establish cooperative relationships among themselves or with third parties that may further enhance their product offerings or resources. If our competitors’ products, services, or technologies become more accepted than our products or services, if they are successful in bringing their products or services to market earlier than ours, or if their products or services are more technologically capable than ours, then our revenues could be adversely affected. In addition, some of our competitors may offer their products and services at a lower price. If we are unable to achieve our target pricing levels, our operating results would be negatively affected. Pricing pressures and increased competition could result in reduced sales, reduced margins, losses or a failure to maintain or improve our competitive market position, any of which could adversely affect our business.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rapid growth in recent periods. If we fail to manage our growth effectively, we may be unable to execute our business plan, maintain high levels of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recently experienced a period of rapid growth in the number of users for Labor Robot. In particular, since the launch of Labor Robot in September 2022, our user base increased from zero to 261 as of March 31, 2023, and further to 483 users as of March 31, 2024, with 222 new users added during the fiscal year ended March 31, 2024. The number of Labor Robot users further grew to 536 as of March 31, 2025, with 53 new users added during the fiscal year ended March 31, 2025. The number of Labor Robot users grew to 715 as of March 31, 2026, with 179 new users added during the fiscal year ended March 31, 2026.We anticipate that we will significantly expand our operations and headcount in the near term. This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growth could result in difficulty or delays in deploying customers, declines in quality or customer satisfaction, increases in costs, difficulties in introducing new features or other operational difficulties, and any of these difficulties could adversely impact our business performance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for cloud-based accounting and human resource software develops more slowly than we expect or declines,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cloud-based accounting and human resource software market is not as mature as the market for on premises enterprise software, especially in the Japanese market. See “Item 4. Information on the Company—B. Business Overview—Market Opportunity.” It is uncertain whether cloud-based software for enterprise will achieve and sustain high levels of customer demand and market acceptance. Our success will depend to a substantial extent on the widespread adoption of cloud computing in general, and of human resource and financial management services in particular.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enterprises have invested substantial personnel and financial resources to integrate traditional enterprise software into their businesses, and therefore may be reluctant or unwilling to migrate to cloud-based software. It is difficult to predict customer adoption rates and demand for our products, the future growth rate and size of the cloud-based software market, or the entry of competitive products. The expansion of the cloud-based software market depends on a number of factors, including the cost, performance, and perceived value associated with cloud-based software, as well as the ability of cloud-based software companies to address security and privacy concerns. If other cloud-based software providers experience security incidents, loss of customer data, disruptions in delivery or other problems, the market for cloud-based software products as a whole, including our products, may be negatively affected. If cloud-based software does not achieve widespread adoption, or there is a reduction in demand for cloud-based software caused by a lack of customer acceptance, technological challenges, weakening economic conditions, security or privacy concerns, competing technologies and products, decreases in corporate spending or otherwise, it could result in decreased revenues and our business could be adversely affected.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provide successful enhancements, new features and modifications to our products and services,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provide enhancements and new features to our current products and services, or new products and services we may develop in the future that achieve market acceptance or that keep pace with rapid technological developments, our business could be adversely affected. For example, we are focused on building a platform into which we will incorporate Robot Lawyer by the end of the fiscal year ending March 31, 2027. See “Item 4. Information on the Company—B. Business Overview—Our Growth Strategies—Expansion into the legal technology business in Japan through “Robot Lawyer.”“. The success of enhancements, new features and products depends on several factors, including the timely completion, introduction and market acceptance of the enhancements or new features or products. Failure in this regard may significantly impair our revenue growth. We may not be successful in either developing these modifications and enhancements or in bringing them to market in a timely fashion. Furthermore, uncertainties about the trends in digital transformation, AI, and the metaverse, the timing and nature of new network platforms or technologies, or modifications to existing platforms or technologies, could increase our research and development expenses. Any failure of our products and services to operate effectively with future digital transformation trends, network platforms or technologies could reduce the demand for our products and services, result in user dissatisfaction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security measures are breached or unauthorized access to user data is otherwise obtained, our products may be perceived as not being secure, customers may reduce the use of or stop using our products and services and we may incur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Robot and e-learning service involve the storage and transmission of customers’ proprietary information, including personal or identifying information regarding their employees, customers and suppliers, as well as their finance and payroll data. Billing Robot also stores customers’ personal information, such as their names, contact information, and dates of birth. In addition, Robot Lawyer handles personally identifiable information of users consulting with Robot Lawyer, such as consultation details in a form of chat messages. As a result, unauthorized access or security breaches could result in the loss of information, litigation, indemnity obligations and other liability. On May 10, 2024, we adopted a comprehensive information security policy that established internal rules regarding information asset management, including authorization for, and access to, digital storage and physical premise storing information, infrastructure operation and management, and software development management and vendor selection security procedures. The policy also established an information security committee responsible for formulating, monitoring, and reviewing our information security measures and relevant guidelines. The current committee consists of Mr. Tomoya Suzuki, our director and chief technology officer, serving as the information security manager; Mr. Amit Thakur, our director and chief executive officer, serving as the information security inspector; and Mr. Kanato Asagarasu, our manager. According to the policy, the information security manager monitors relevant cybersecurity threats and trends in personal information protection and timely report them to the information security committee. Our information security inspector shall review this policy’s implementation annually and report his findings to the information security committee. Based on these findings, the committee shall formulate necessary improvement plans. In the event of a cybersecurity incident, Mr. Hidetoshi Yokoyama, our representative director, assumes the top leadership role, and Mr. Tomoya Suzuki acts as an incident response manager. Regardless of the policy, we have always used our best efforts to maintain appropriate service agreements with our third-party software vendors and cloud service providers to maintain the uninterrupted use of our products and services and protect customers’ data. We also endeavor to ensure through these agreements that the cloud services are sufficiently isolated, and the data are securely stored with necessary encryptions. Our chief technology officer and head of management are responsible for monitoring the execution of these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security measures in place to protect customer information and prevent data loss and other security breaches, if these measures are breached as a result of third-party actions, employee errors, malfeasance or otherwise, and someone obtains unauthorized access to customers’ data, our reputation could be damaged, our business may suffer and we could incur significant liability. Because we fully rely on our cloud service providers to maintain the server’s cybersecurity, we may be unable to timely or adequately address cybersecurity threats sufficiently and efficiently without the providers’ support. See “—We depend on a cloud storage service provider to operate Labor Robot and any disruption in the operation of the cloud storage service provider could adversely affect our business.” If someone obtains unauthorized access to customers’ data or we lose customers’ data, our reputation could be damaged, our business may suffer and we could incur significant liability. Because the techniques used to obtain unauthorized access or sabotage systems change frequently and generally are not identified until they are launched against a target, we may be unable to anticipate these techniques or to implement adequate preventative measures. Any or all of these issues could negatively affect our ability to attract new customers, result in reputational damage or subject us to third-party lawsuits, regulatory fines or other action or liability, which could adversely affect our operating results.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cloud storage service provider to operate Labor Robot and any disruption in the operation of the cloud storage service provider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host our products and services, including Labor Robot, Lawyer Robot, Billing Robot, and serve all of their users by using Amazon Web Services (“AWS”), whose data center is located in the region called AWS Tokyo Region, which region includes Tokyo and Chiba. We also host our e-learning services with ShareWis Co., Ltd., a Japanese corporation providing e-learning service (“ShareWis”). While we control and have access to our files and data that are located in AWS, we do not control the operation of these facilities. Since the cloud server is located at our cloud storage service provider’s facilities, we fully rely on the provider’s service support to maintain the server and its infrastructure, including cybersecurity protection and recovery resulting from server failure. The server performance may also temporarily deteriorate since hosting infrastructure is also employed to serve the significant number of our cloud storage service provider’s users. Our cloud storage service provider has no obligation to renew a cloud storage service agreement with us on commercially reasonable terms, or at all. If we are unable to renew the agreement on commercially reasonable terms, or if our cloud storage service provider is acquired, we may be required to transfer our servers and other infrastructure to new data center facilities, and we may incur significant costs and possible service interruption in connection with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problems faced by our cloud storage service provider, with the telecommunications network providers with whom we or they contract, or with the systems by which our telecommunications providers allocate capacity among their customers, including us, could adversely affect the experience of our customers. Our cloud storage service provider may decide to terminate their service without adequate notice. In addition, any financial difficulties, such as bankruptcy, faced by our cloud storage service provider or any of the service providers with whom we or it contract may have negative effects on our business, the nature and extent of which are difficult to predict. Additionally, if our cloud storage service provider is unable to keep up with our growing needs for capacity, this could have an adverse effect on our business. Any changes in third-party service levels at our cloud storage service provider’s server or any errors, defects, disruptions, or other performance problems with our products could adversely affect our reputation and may damage customers’ stored files or result in lengthy interruptions in our services. Interruptions in our services might reduce our revenues, subject us to potential liability, or adversely affect our future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accounting features in Labor Robot may play an important role in its users’ financial projections, reporting and compliance programs. Although we clearly indicate in the Labor Robot software licensing agreement that we are not liable for any damages arising from the use of Labor Robot, any interruption in our service may affect the availability, accuracy or timeliness of these programs and could damage our reputation, cause users to terminate their use of our software, require us to indemnify users against certain losses and prevent us from gaining additional business from current or future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still heavily relying on third-party software development vendors to build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we spent 0.0%, 8.7% and 8.7% of our supply cost to outsource the software development of our products and services to third-party vendors, respectively. As we train our focus on legal technology and metaverse-related business, we are building our research and development team and hiring more engineers. Nevertheless, our team is still small, and we might need to incur substantial costs to develop additional features in Labor Robot or to develop new products or services. When negotiating development outsourcing agreements, we might be unable to have our software development vendors transfer the intellectual property rights to us. We may need to obtain licenses from such vendors, which may restrict the use of software and prevent us from further developing new intellectual properties based on the existing software. Moreover, if we are unsuccessful in obtaining the intellectual property rights to such software, we may not be able to prevent such software from being made available to our competitors. These restrictions and limitations may affect our ability to rapidly introduce new features in our products, and therefore could adversely affect the competitiveness of our products and services.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incorporate AI technologies into some of our products and services, which may present operational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incorporated certain AI technologies into some of our products and services. Specifically, we have used LLM’s application programming interfaces, or APIs, connecting Robot Lawyer with multiple LLMs to avoid dependence on any single LLM. See “Item 4. Information on the Company—B. Business Overview—Our Growth Strategies— Expansion into metaverse business in Japan through ‘Robot Lawyer,’” and “Item 4. Information on the Company—B. Business Overview—Research and Development.” We also invested in the development of Junior Lawyer X by CJK Group, where CJK Group employs AI technology in designing Junior Lawyer X. See “Item 4. Information on the Company—B. Business Overview—Our Growth Strategies— Collaboration with CJK Group to launch ‘Junior Lawyer X’ in the 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many innovations, there are associated risks involved in utilizing AI technology. Although we believe that overall testing results of our products are improving and show promise, no assurance can be provided that our use of such AI will eventually produce the intended results. Even if it could produce such intended results, we cannot guarantee that such AI will not produce errors going forward. AI, particularly generative AI, has been known to produce false or “hallucinatory” inferences or outputs. AI can also present ethical issues and may subject us to new or heightened legal, regulatory, ethical, or other challenges. Inappropriate or controversial data practices by developers and end-users, or other factors adversely affecting public opinion of AI, could impair the acceptance of AI solutions, including those incorporated in our products and services. If the AI tools that we use are deficient, inaccurate, or controversial, we could incur operational inefficiencies, competitive harm, legal liability, brand or reputational harm, or other adverse impacts on our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CJK Group has incorporated machine learning models in its Junior Lawyer X. If the machine learning models are incorrectly designed, the data CJK Group uses to train them is incomplete, inadequate, or biased in some way, or CJK Group does not have sufficient rights to use the data on which its machine learning models rely, the performance of Junior Lawyer X and the profit we may earn from the profit-sharing scheme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 of AI is rapidly evolving worldwide, as legislators and regulators are increasingly focused on these powerful emerging technologies. The technologies underlying AI and its uses are subject to a variety of laws and regulations, including intellectual property, data privacy and security, customer protection, competition, and equal opportunity laws, and are expected to be subject to increased regulation and new laws or new applications of existing laws and regulations. For example, Japan enacted the Act on Promotion of Research and Development, and Utilization of Artificial Intelligence-related Technology (Act No. 53 of June 4, 2025), which establishes a basic framework for promoting the research and development and utilization of AI-related technology, including basic principles, responsibilities of the national and local governments, research and development institutions, and business operators utilizing AI-related technology, and the establishment of the AI Strategy Headquarters. In addition, in May 2024, the Japanese government embarked on drafting bills to regulate large AI developers. On April 10, 2024, Ministry of Economy, Trade, and Industry and Ministry of Internal Affairs and Communications published AI Guidelines for Business version 1.0 by compiling existing AI guidelines released by these two ministries. The guidelines were subsequently updated to version 1.2 in March 2026. In July 2025, President Trump announced an “AI Action Plan” through three executive orders. The plan mandates “truth-seeking” and “ideological neutrality” for federal use of large language models, requiring all procurement contracts to comply by November 20, 2025. The AI Action Plan streamlines federal permitting for high-power data centers by overriding environmental reviews and encourages financing and fast-tracking of AI infrastructure. A third order promotes global exports of the U.S. “AI technology stack,” including chips, models, and security tools. The Office of Management and Budget (OMB) implemented this order through memos M-25-21 and M-25-22, embedding AI governance across federal systems and requiring transparency in public AI use cases, while prioritizing domestic AI suppliers under “buy American” provisions. On June 2, 2026, President Trump signed another executive order titled “Promoting Advanced Artificial Intelligence Innovation and Securities,” including measures to address emerging cybersecurity risks presented by advanced AI models, by directing the Secretaries of the Treasury, War, and Homeland Securities and relevant components thereof to develop (i) a classified benchmarking process to assess the advanced cyber capabilities of AI models and determine the threshold at which they should be designated a “covered frontier model” for the purposes of the order, and (ii) a voluntary framework for AI developers to (x) engage with the federal government to determine whether models meet the threshold for designation, and (y) grant agencies access to covered frontier models for 30 days prior to release to wider audiences.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regulatory frameworks rapidly evolve, we may become subject to new laws and regulations, either in Japan or in the United States, which may affect the legality, profitability, or sustainability of our businesses, and we may be unable to predict all the legal, operational, or technological risks that may arise relating to the use of AI. The failure to comply with recommended guidelines, as updated from time to time, such as the AI Guidelines for Business, may also negatively affect our reputation. Because AI technology itself is highly complex and rapidly developing, it is not possible to predict all the legal, operational, or technological risks that may arise relating to the use of AI. Failure to appropriately respond to this evolving landscape may result in legal liability, regulatory action, or brand and reputational harm.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successfully integrate AI technologies in our future product may be dependent on our access to specific third-party software and infrastructure and our business may be adversely impacted if we are unable to access such third-party software and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employed third-party generative AI features in Robot Lawyer. We may also employ other AI technologies in our current or new products in the future. Our ability to continue to use such technologies at the scale we need may be dependent on access to such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become unavailable for use, or the providers of such models unfavorably change the terms on which their AI technologies are offered or terminate their relationship with us, our products and services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such affected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our products that employ AI technologies available via license agreements to third parties, who can use our products in their own operations. We may not have insight into, or control over, the practices of third parties who may utilize such products. As such, we cannot guarantee that such third parties will not use such AI technologies for improper purposes, including through the dissemination of illegal, inaccurate, defamatory, or harmful content, intellectual property infringement or misappropriation, furthering bias or discrimination, cybersecurity attacks, data privacy violations, or to develop competing technologies, or that the measures we implement to prevent such improper use will be effective. Such improper use by any third party could adversely affect our business, financial condition, reputation (and the reputations of our customers), and/or subject us to legal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aspects of our products and services may use or be developed by employing open-source software and open-weight AI technology, and our use of open-source software and/or open-weight AI technology could negatively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xml:space="preserve">We use open-source software as foundations for developing our products and services. </w:t>
      </w:r>
      <w:r>
        <w:rPr>
          <w:rFonts w:ascii="Times New Roman;Times;Serif" w:hAnsi="Times New Roman;Times;Serif"/>
          <w:sz w:val="20"/>
        </w:rPr>
        <w:t xml:space="preserve">We have also </w:t>
      </w:r>
      <w:r>
        <w:rPr/>
        <w:t>run certain open-weight LLMs, such as Llama released by Meta, so we can test and develop Robot Lawyer. Open weight models are AI systems whose trained parameters are publicly released, allowing users to run, fine-tune, and deploy them. However, unlike open-source software, open-weight models do not include the full training code, original datasets, or detailed training methodology. We may also incorporate more open-source software or open-weight AI technology in our future products and services, which may expose us to various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rely on contributions from a community of external developers to maintain and update these technologies, which introduces uncertainty regarding their availability and development timeline. Any discontinuation or delay in updates could force us to seek alternative solutions, increasing our costs and potentially disrupting our operations. Additionally, compliance with the complex landscape of open-source licenses is challenging. Some open licenses include restrictions that do not readily conform to open-source standards, such as “open-weight” models which include more restrictive terms for certain uses or users, thereby creating uncertainty and risk on our reliance on such software or models. Non-compliance could lead to significant legal penalties or the requirement to release our proprietary code, undermining our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xml:space="preserve">Use and distribution of open-source software may also entail greater risks than use of third-party commercial software, as open-source licensors generally do not provide support, warranties, indemnification, or other contractual protections regarding infringement claims or the quality of the code. Accordingly, we can provide no assurance that the authors of such open-source software will implement or publish updates to address security risks or will not abandon further development and maintenance. In addition, the public availability of such software may make it easier for others to compromise our technology. For example, open-source software and </w:t>
      </w:r>
      <w:r>
        <w:rPr>
          <w:rFonts w:ascii="Times New Roman;Times;Serif" w:hAnsi="Times New Roman;Times;Serif"/>
          <w:sz w:val="20"/>
        </w:rPr>
        <w:t xml:space="preserve">open-weight AI technologies may also pose security and reliability concerns, as they are more susceptible to exploitation due to their public nature. Security vulnerabilities or bugs could compromise the integrity of our products, resulting in reputational harm, loss of customer trust, and financial damage. </w:t>
      </w:r>
      <w:r>
        <w:rPr/>
        <w:t>Many of the risks associated with the use of open-source software cannot be eliminated, and could, if not properly addressed, negatively affect our business, our intellectual property, and the security of our systems, products, and services. To the extent that our systems depend upon the successful operation of the open-source software they use, any undetected errors or defects in such open-source software could prevent the deployment or impair the functionality of our systems or applications, delay the introduction of new solutions, result in a failure of our systems, products or services, and injure our reputation.  </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Open-source software may not always align with regulatory requirements in different jurisdictions, potentially exposing us to legal and compliance risks. Ensuring that the use of open-source software and open-weight AI technology complies with applicable laws and regulations adds complexity and could incur additional costs. Furthermore, we may face the risk of intellectual property infringement claims, which could lead to costly legal battles and operational disruptions. Open-source license terms are often ambiguous and there is little legal precedent governing their interpretation. Accordingly, there is a risk that these licenses could be construed in a way that could impose unanticipated obligations, conditions, or restrictions regarding our ability to provide or distribute our products and technologies. Companies that incorporate open-source software into their products have, in the past, faced claims seeking enforcement of open-source license provisions and claims asserting ownership of open-source software incorporated into their product. As a result, we could be subject to lawsuits by parties claiming ownership of what we believe to be open-source software or claiming non-compliance with the terms and conditions of an open-source license, and we could incur significant legal costs defending ourselves against such allegations. If we were held to have breached or to have failed to fully comply with such terms and conditions, we could face infringement claims or other liability, or could be required to seek costly licenses from third parties to continue providing our technology on terms that are not economically feasible, to re-engineer our system, or to make generally available, in source code form our proprietary code, any of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concerns and laws or other domestic or foreign regulations may reduce the effectiveness of our products and services and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Robot enables users to collect, use and store personal or identifying information regarding their employees, customers and suppliers. We also collect, store, and maintain names and e-mail addresses of the employees enrolling in our e-learning courses, as required to issue and maintain their e-learning accounts. Billing Robot also stores customers’ personal information, such as their names, contact information, and dates of birth. In addition, Robot Lawyer handles personally identifiable information of users consulting with Robot Lawyer, such as consultation details in a form of chat messages. Japanese government bodies and agencies have adopted laws and regulations regarding the collection, use, storage and disclosure of personal information obtained from consumers and individuals. Currently, the Act on the Protection of Personal Information (Act No. 57 of May 30, 2003, as amended) and its related guidelines impose various requirements on businesses, including us, that use databases containing personal information. See “Item 4. Information on the Company—B. Business Overview—Regulations.” The costs of compliance with, and other burdens imposed by, such laws and regulations that are applicable to the businesses of our customers may limit the use and adoption of our products and services and reduce overall demand, or lead to significant fines, penalties or liabilities for any noncompliance with such privacy laws. Furthermore, privacy concerns may cause employees of Labor Robot’s users or our e-learning customers to resist providing the personal data necessary to allow the customers to use our products and services effectively. Even the perception of privacy concerns, whether or not valid, may inhibit market adoption of our products and services in certain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domestic and international legislative and regulatory initiatives may adversely affect our customers’ ability to process, handle, store, use and transmit demographic and personal information from their employees, customers and suppliers, which could reduce demand for our products and services. 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products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if our customers are not satisfied with the deployment services provided by us or our Certified Consultant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ability to satisfy our customers, both with respect to our product and service offerings and the consultation services with professionals, including Certified Consultants, who help Labor Robot’s users use features and functions that address their business needs. Our staff may perform some preliminary services relating to social insurance and labor consultations before Labor Robot’s users consult with our partnered Certified Consultants or our third-party service providers. We clearly indicate in Labor Robot software licensing agreement and e-learning licensing agreement that we will not be liable for any damages arising from the use of Labor Robot and e-learning courses. Additionally, Labor Robot users are required to separately enter into a service agreement with our partnered Certified Consultants to seek further consultation. See “Item 4. Information on the Company—B. Business Overview—Our Business Model—Sales of Software— (1) Grant and subsidy application support—Grant Application” and “Item 4. Information on the Company—B. Business Overview—Our Business Model—Sales of Software— (1) Grant and subsidy application support—Subsidy Application.” Regarding e-commerce store set-up services, we provide our customers with a three-month warranty in case there is any non-conformity. Despite such disclaimer, there is no assurance that a user will not sue us for damages they experience arising from the use of our product and services, if a customer is not satisfied with the services, either provided by us or a Certified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legal and other proceedings may require substantial time and expense to resolve, which could divert valuable resources, such as management time and working capital, delay our planned projects, and increase our costs. There is no assurance that courts will not enter into judgments against us. In such events, our business operations, financial condition, and reputation may be materially and adversely affected. In addition, negative publicity related to our customer relationships, regardless of its accuracy, may further damage our business by affecting our ability to compete for new business with current and prospective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policies regarding grants and subsidies made by the Japanese government and the use of Certified Consultants may significantly affect the profitability of our products, including Labor Robot and Billing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the support for applications for grants and subsidies provided by the Japanese government as an important part of our products and services and marketing strategy. For example, Labor Robot’s features include grant application support with MHLW and connecting users with Certified Consultants who help them apply for grants. See “Item 4. Information on the Company—B. Business Overview—Our Business Model—Sales of Software—Labor Robot—(1) Grant and subsidy application support.” Additionally, to lessen the actual expenses incurred by prospective customers of Labor Robot, the add-on features of Billing Robot, or our consulting and support services, we help them apply for the Digitalization &amp; AI Implementation Subsidy provided by METI, which subsidizes costs for software licenses, cloud service fees of no more than two years, and costs relating to installation. See “Item 4. Information on the Company—B. Business Overview—Our Marketing Channel.” Hence, changes in policies regarding grants and subsidies may cause our product to be significantly less competitive than those of our competitors. Although we are now trying to diversify our new businesses, the development might not be completed in time to mitigate losses resulting from the policy changes, which could adversely impact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unsuccessful application for the Digitalization &amp; AI Implementation Subsidy or grants may significantly affect the profitability of our products and services, including Labor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grants and subsidies provided by the Japanese government, Digitalization &amp; AI Implementation Subsidy is a key part in our marketing strategy. For example, to lessen the actual expenses incurred by our prospective Labor Robot and Billing Robot users, we help them apply for the Digitalization &amp; AI Implementation Subsidy provided by METI. However, if the application is unsuccessful, our customers have an option to choose whether they will proceed with or cancel the purchase. See “Item 4. Information on the Company—B. Business Overview—Our Marketing Channel.” During the fiscal year ended March 31, 2023, we also separately provided Digitalization &amp; AI Implementation Subsidy application consulting and support services for corporate customers, where we only charged the contingency fee equal to a percentage of the subsidies actually paid by METI. See “Item 4. Information on the Company—B. Business Overviews—Our Business Model—Consulting and Support Services—(1) Digitalization &amp; AI Implementation Subsidy Application Consulting and Support Services.” During the fiscal years ended March 31, 2026, 2025, and 2024, our successful application rates of the Digitalization &amp; AI Implementation Subsidy were 73.5%, 91.0%, and 96.3%, respectively. For e-learning customers, we also provide support for their grant applications with MHLW. If the grant application is successful, the e-learning customers will be subsidized at 75% of the e-learning cost, in case of the small and medium-sized businesses. The grant is generally awarded in the full amount by MHLW if the customers meet the requirements. See “Item 4. Information on the Company—B. Business Overview—Our Marketing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there is also a possibility that we will not obtain the price of Labor Robot or the consulting and support services if the applications were unsuccessful, and it may detrimentally affect our revenues and operating results. There is no guarantee that we will be able to maintain or increase the current success rate for the Digitalization &amp; AI Implementation Subsidy or grant applications. Additionally, in the event that METI or MHLW reviews applications in a more stringent manner or imposes additional requirements for the applications, METI or MHLW may decide to provide subsidies or grants for our submitted applications in lesser amounts than applied for or not at all, which could materially and adversely affect our revenue generated from sales of Labor Robot and other consulting and support services, which could subsequently impact our business operations,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we outsourced 69.9% of applications for the Digitalization &amp; AI Implementation Subsidy to Kizashi Inc. (“Kizashi”), Apricot Inc. (“Apricot”), and Senkou Co., Ltd. (“Senkou”) to help our customers apply for the subsidies. See “Item 4. Information on the Company—B. Business Overview—Our Business Model—Sales of Software—Labor Robot—(1) Grant and subsidy application support—Subsidy Application” and “Item 4. Information on the Company—B. Business Overview—Our Business Model—Consulting and Support Service—(1) Digitalization &amp; AI Implementation Subsidy Application Consulting and Support Services.” While we started handling the application for the Digitalization &amp; AI Implementation Subsidy internally during the fiscal year ended March 31, 2026, if these two vendors fail to maintain their successful application rate, our businesses and operating results may be significantly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total revenue was derived from a few major customers. A high concentration of our revenue from a few major customers means that loss of business from any of them may have a significant negative impact 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did not have any customer that accounted for more than 10% of our revenue in the fiscal year ended March 31, 2026 and 2024, we had two customers that accounted for more than 10% of our revenue in the fiscal years ended March 31, 2025, respectively. See “Item 4. Information on the Company—B. Business Overview—Our Customers.” Nevertheless, having few major customers may make us vulnerable to the risk of financial impact if we are unable to secure new revenue-generating customer contracts in the future. The major customer may not continue using our services in the future, because it (i) may not need such services; (ii) may not have the budget for purchasing these services; (iii) may choose to purchase these services from our competitors instead of us; or (iv) may determine not to use our services for other reasons. A high concentration of revenue from a few major customers means that loss of business from any of them may have a significant negative impact on our business and financial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technical support services may adversely affect our relationships with our customers and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of Labor Robot, Robot Lawyer, Biling Robot, and our consulting and support services depend on our support team to resolve technical issues relating to services rendered. We may be unable to respond quickly enough to accommodate short-term increases in user demand for support services. We also may be unable to modify the format of our support services to compete with changes in support services provided by our competitors. Increased user demand for these services, without corresponding revenues, could increase costs and adversely affect our operating results. In addition, our sales process is highly dependent on our business reputation and on positive recommendations from our existing customers. Any failure to maintain high-quality technical support, or a market perception that we do not maintain high-quality support, could adversely affect our reputation, our ability to effectively sell Labor Robot and other services to customers and other future products to existing and prospective customers, and may adversely impact our business, operating results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depends in part on the success of our strategic relationships with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grow our business, we anticipate that we will continue to depend on relationships with third parties, such as distribution agents and third-party software development vendors. Identifying partners, and negotiating and documenting relationships with them, requires significant time and resources. Our competitors may be effective in providing incentives to third parties to favor their products or services or to prevent or reduce purchases of our services. In addition, acquisitions of our partners by our competitors could result in a decrease in the number of our current and potential customers, as our partners may no longer facilitate the adoption of our products and services by potential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unsuccessful in establishing or maintaining our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products or increased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products fail to perform properly, our reputation could be adversely affected, our market share could decline and we could be subject to liability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products and services, such as Labor Robot, Robot Lawyer, Billing Robot, and e-learning services, are internet-based and complex, and may contain material defects or errors. Any defects in functionality or that cause interruptions in the availability of our service could result in:</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delayed market acceptance and sales;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 of warranty claims;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credits or refunds for prepaid amounts related to unused subscription services;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diversion of development and user service resources;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injury to our reputation.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incurred in correcting any material defects or errors might be substantial and could adversely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large amount of data that we collect and manage, it is possible that hardware failures or errors in our systems could result in data loss or corruption or cause the information that we collect to be incomplete or contain inaccuracies that customers, including Labor Robot’s users, regard as significant. Furthermore, the availability or performance of our products could be adversely affected by a number of factors, including customers’ inability to access the Internet, the failure of our network or software systems, security breaches or variability in user traffic for our services. Despite the disclaimer in licensing agreements and/or terms and services applicable to Labor Robot, Robot Lawyer, Billing Robot, and e-learning services, providing that we shall not be liable for damages resulting from the use of these products and services, we may nonetheless be determined to be liable to customers for damages they may incur resulting from certain of these events. For example, customers access our products through their internet service providers. If a service provider fails to provide sufficient capacity to support our products or otherwise experiences service outages, such failure could interrupt customers’ access to our products, adversely affect their perception of our products’ reliability and reduce our revenues. In addition to potential liability, if we experience interruptions in the availability of Labor Robot or other services, our reputation could be adversely affected, and customers may not purchase any other products of ours.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our chief executive officer and other key executives and to attract and retain 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executive officers, as well as the other principal members of our management team. We also depend on our ability to retain and motivate key employees and attract qualified new employees. We may be unable to replace key members of our management team or key employees if we lose their services. Integrating new employees into our team could prove disruptive to our operations, require substantial resources and management attention, and ultimately prove unsuccessful. Any inability to attract and retain sufficient managerial personnel who have critical industry experience and relationships could limit or delay our strategic efforts,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the services of any of these persons could impede the achievement of our growth, development, and commercialization objectives. The unexpected loss of the services of one or more of our directors or executive officers and/or advisors, including due to disease, disability, or death, could have a detrimental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currently rely on consultants and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the continued success of our brands, and if we fail to maintain and enhance the recognition of our brands, we may face difficulty increasing our network of business partners and customers, and our reputation and operating results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market awareness of our brands, including “Robot Consulting,” and “Labor Robot,” have contributed significantly to the success of our business. Maintaining and enhancing our brands is critical to our efforts to increase our network of business partners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business partners and customers depends not only on investment in our brands, our marketing efforts, and the success of our products and services, but also on the perceived value of our products and services versus competing alternatives among our customer bases. In addition, a failure by our customers to distinguish between our brands and the different products and services provided by our competitors may result in a reduction in revenue, profit, and margins. If our marketing initiatives are not successful or become less effective, or if we are unable to further enhance our brand recognition, or if we incur excessive marketing and promotion expenses, we may not be able to attract new customers successfully or efficiently, and our business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negative publicity about our business, products, services, shareholders, affiliates, directors, officers, and other employees, and the industry in which we operate, can harm the recognition of our brands or reputation. Negative publicity, regardless of merits, concerning the foregoing, could be related to a wide variety of matters,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alleged misconduct or other improper activities committed by our directors, officers, other employees, and business partners, including misrepresentation made by our employees to potential business partners and customers during sales and marketing activities, and other fraudulent activities to artificially inflate the popularity of our products and services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or malicious allegations or rumors about us or our directors, shareholders, affiliates, officers, other employees and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complaints by customers, or business partners about our products, services and sales, and marketing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of confidential business partners, customer, or employee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employment-related claims relating to alleged employment discrimination, wage, and hour violations;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regulatory investigations or penalties resulting from our failure to comply with applicable laws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media, there has been increasing use of social media platforms and similar devices in Japan, including instant messaging applications, social media websites, and other forms of internet-based communications that provide individuals with access to a broad audience of consumers and other interested persons. The availability of information on instant messaging applications and social media platforms is virtually immediate, as is its impact, without affording us an opportunity for redress or correction. The opportunity for dissemination of information, including inaccurate information, is readily available. Information concerning our Company, shareholders, affiliates, directors, officers, other employees, and business partners, may be posted on such platforms at any time. The risks associated with any such negative publicity or incorrect information cannot be completely eliminated by our strategies to maintain our brand integrity and may materially harm the recognition of our brand,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a failure to protect our intellectual property or the intellectual property of our business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intellectual property rights in our brands, such as “Robot Consulting,” and “Labor Robot.” See also “— Our business depends on the continued success of our brands, and if we fail to maintain and enhance the recognition of our brands, we may face difficulty increasing our network of business partners and customers, and our reputation and operating results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intellectual property as critical to our success, and we depend, to a large extent, on our ability to develop and maintain our intellectual property rights. To do so, we rely upon a combination of confidential policies, nondisclosure, and other contractual arrangements and copyrights, software copyrights, trademarks, and other intellectual property laws. We also make use of the intellectual property rights from business partners to monetize the services we provide. Despite our efforts to protect our or our business partners’ intellectual property rights, the steps we take in this regard might not be adequate to prevent, or deter, infringement or other misappropriation of our or our business partners’ intellectual property by competitors, former employees, or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and preventing any unauthorized use of our or our business partners’ intellectual property is difficult and costly, and any of our or our business partners’ intellectual property rights could be challenged, invalidated, circumvented, or misappropriated, or such intellectual property may not be sufficient to provide us with competitive advantages. Litigation or proceedings before governmental authorities, or administrative and judicial bodies may be necessary to enforce our intellectual property rights and to determine the validity and scope of our rights. Our efforts to protect our intellectual property in such litigation and proceedings may be ineffective and could result in substantial costs and diversion of resources and management time, each of which could substantially harm our operating results. Any failure in protecting or enforcing our or our business partners’ intellectual property rights could have a material adverse effect on our business, results of operations, financial condition,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claims that create uncertainty about ownership or use of intellectual property essential to our business and divert our managerial and other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operate without infringing the intellectual property rights of others. Third parties may, in the future, claim our or our business partners’ current or future copyrights, patents, trademarks, technologies, business methods, or processes infringe on their intellectual property rights or challenge the validity of our or our business partners’ intellectual property rights. We may be subject to intellectual property infringement claims that would be costly to defend and could limit our ability to use certain critical copyrights, trademarks, or business methods.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defense and prosecution, if necessary, of intellectual property suits, interference proceedings, and related legal and administrative proceedings can become very costly and may divert our management personnel from their normal responsibilities. We may not prevail in any of these suits or proceedings. An adverse determination of any litigation or defense proceedings could require us to pay substantial compensatory and punitive damages, could restrain us from using critical copyrights, patents, trademarks, business methods, or processes, and could result in us losing or not gaining valuable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due to the voluminous amount of discovery frequently conducted in connection with intellectual property litigation, some of our confidential information could be disclosed to competitors during this type of litigation. In addition, public announcements of the results of hearings, motions, or other interim proceedings or developments in the litigation could be perceived negatively by investors and thus have an adverse effect on the trading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a significant amount of cash to fund our operations and business expansion; if we cannot obtain additional capital on terms satisfactory to us when we need it, our growth prospects and future profitability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a significant amount of cash to fund our operations, including payments to the cooperating manufacturer for our products. We will also need to raise funds for the expansion of our sales and distribution channels and other investing activities so as to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2023 and 2024, the Company issued 296,000 and 576,000 Ordinary Shares (or 1,776,000 Ordinary Shares and 3,456,000 Ordinary Shares, respectively, after taking into account the 1-for-6 share split effective as of January 7, 2025) in private transactions for aggregate gross proceeds of approximately JPY325.6 million and JPY348.5 million, respectively. The Company achieved positive working capital of $980 thousand as of March 31, 2024, as a result of these fundraising activities through the issuance of new Ordinary Shares. We believe that our current cash and anticipated cash flow from operations, plus a portion of the net proceeds from the Company’s initial public offering that closed on July 18, 2025 (the “IPO”) together with other equity and debt financings as, when and if necessary and available, will be sufficient to meet our anticipated cash needs for the next 12 months, including for working capital and capital expenditures. However, future expansion, market changes, or other developments may cause us to require additional funds. Our ability to obtain external financing is subject to a number of uncertainties, including:</w:t>
      </w:r>
    </w:p>
    <w:p>
      <w:pPr>
        <w:pStyle w:val="TextBody"/>
        <w:bidi w:val="0"/>
        <w:spacing w:before="0" w:after="0"/>
        <w:ind w:left="0" w:right="0" w:hanging="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condition, results of operations, and cash flows;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of global credit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financing activities by companies in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political, and other conditions in Japan and elsewhere.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in a timely manner or on commercially acceptable terms, or at all, our growth prospects and future profitability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sustain our ability to support our operating activities, we may have to consider supplementing our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generated from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available sources of financing from Japanese banks and other financial institutions;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support from the Company’s related parties and shareholders.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certainty that these additional financings will be available on acceptable terms or at all. If management is unable to execute this plan, there would likely be a material adverse effect on the Company’s business. All of these factors may raise substantial doubt about the ability of the Company to continue as a going concern. The financial statements for the fiscal years ended March 31, 2024 and 2023 have been prepared on a going concern basis and do not include any adjustments to reflect the possible future effects on the recoverability and classifications of assets or the amounts and classifications of liabilities that may result from the inability of the Company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insurance policies may not provide adequate levels of coverage against all claims and we may incur losses that are not covered by our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directors and officers liability insurance; however, we do not have any other insurance coverage against potential losses or damages with respect to our business operations. As a result, we may be unable to insure against certain types of losses or claims, or the cost of such insurance may be prohibitive. Uninsured losses or claims, if they occur, could have a material adverse effect on our reputation, business, results of operations, financial condition,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natural disasters, adverse weather conditions, operating hazards, and labor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natural disasters, adverse weather conditions, operating hazards, and labor disputes. We may experience earthquakes, floods, typhoons, power outages, labor disputes, or similar events beyond our control that could materially and adversely affect our operations. In the event of uncontrollable circumstances, including operating hazards, fires, and explosions, natural disasters, adverse weather conditions, and major equipment failures, for which we may not be able to obtain insurance at a reasonable cost, there could be a material and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 significant portion of our research and development activities and operations, our distribution partners’ activities, and our development outsourcing vendors’ activities occur at specific locations, the occurrence of any natural disaster, unanticipated catastrophic event, or unexpected accident at these locations could result in disruptions or shutdowns, which could significantly disrupt our business operations, cause us to incur additional costs, and affect our ability to deliver services and conduct courses as scheduled, thereby materially and adversely affecting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manage our expansion of operations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 growth in demand for our products, we plan to expand our business operations significantly. Our ability to meet existing commitments to our customers depends on the successful and timely implementation of our expansion plan. If we are unable to fulfill our commitments to customers or customer orders on a timely basis or at all, we may lose our customers and our reputation may be damaged.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expansion and operational growth depends on the improvement of our operational and financial systems, enhancement of our internal procedures and controls, and development of the business alliance with existing and potential business partners. If we fail to improve our operational and financial systems, enhance our internal procedures and controls and risk monitoring and management system, and develop the business alliance with existing and potential business partners, we may not be able to take advantage of growth opportunities or identify unfavorable business trends, administrative oversights, or other risks that could materially and adversely affect our business, prospects, financial condition, and results of operations. Furthermore, our management will be required to maintain and expand our relationships with our customers, business partners, and other third parties. We cannot assure you that our current and planned operations, personnel, systems, internal procedures, and controls will be adequate to support our future growth. If we are unable to manage our growth effectively, we may not be able to take advantage of market opportunities, execute our business strategies, or respond to competitive pressures.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operating in a period of economic uncertainty and capital markets disruption, significantly impacted by geopolitical instability due to the ongoing military conflict involving Iran, military actions in the Middle East, and the war in Ukraine. Our business, financial condition, and results of operations could be materially adversely affected by any negative impact on the global economy and capital markets resulting from these conflicts or any other geopolitical 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The ongoing disruptions caused by these military actions, and the potential for further escalation, could result in protracted and severe damage to the global economy and investment climate.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continuing war in Ukraine and the resulting sanctions levied by the United States, the European Union, and other nations including Japan against Russia continue to impact global financial markets. The extent and duration of these military actions in the Middle East and Eastern Europe, as well as the resulting sanctions and market disruptions, are impossible to predict but are expected to remain substantial.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geopolitical instability may further exacerbate volatility in global energy prices, increasing our facility operating costs, including utilities and event hosting expenses, and contributing to broader economic fluctuations in Japan. If Japan becomes actively involved in these conflicts or extends support to any involved parties, it could face sanctions and penalties by the United States, the European Union, and other countries. While our business has not been materially impacted by these geopolitical events as of the date of this annual report, the extent to which our operations or those of our business partners will be affected in the future, or the ways in which the conflicts may impact our business, including sanctions and penalties, is unpredictable. The extent and duration of the military actions, sanctions, and resulting market disruptions could be substantial. Any such disruptions may also amplify the impact of other risks described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engaged in transactions with related parties, and such transactions present possible conflicts of interest that could have an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number of transactions with related parties, including our directors and an executive officer. See “Item 7. Major Shareholders and Related Party Transaction—B. Related Party Transactions.” We may in the future enter into additional transactions with entities in which members of our board of directors and other related parties hold ownership interests. Transactions with the entities in which related parties hold ownership interests present potential for conflicts of interest, as the interests of these entities and their shareholders may not align with the interests of the Company and our unaffiliated shareholders with respect to the negotiation of, and certain other matters related to, our purchases from and other transactions with such entities. Conflicts of interest may also arise in connection with the exercise of contractual remedies under these transactions, such as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we may have achieved more favorable terms if such transactions had not been entered into with related parties. These transactions, individually or in the aggregate, may have an adverse effect on our business and results of operations or may result in government enforcement actions and other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regimes governing internet platforms are uncertain, and new regulations or policies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internet platform industry, which is subject to certain laws and regulations in Japan. See “Item 4. Information on the Company—B. Business Overview—Regulations.” Our industry is relatively new and evolving, and relevant laws and regulations in Japan involve significant uncertainties. As a result, in certain circumstances it may be difficult to determine what actions or omissions may be deemed to be in violation of applicable laws and regulations. New or changing laws and regulations or interpretations of existing laws and regulations may materially and adversely impact the development and growth of our industry, which could adversely affect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options issued to our employees, consultants, and service providers could increase the number of Ordinary Shares eligible for future resale in the public market and result in dilution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our board of directors approved the issuance of options to purchase an aggregate of 2,268,000 Ordinary Shares at the price of JPY200 per share to various officers, directors, employees, consultants, and service providers. See “Item 6. Directors, Senior Management, and Employees—B. Compensation—Share-based compensation.” To the extent such stock options are exercised, additional Ordinary Shares will be issued, which will result in dilution to our then existing shareholders, including the public shareholders, and increase the number of shares eligible for resale in the public market. Sales of substantial numbers of such shares in the public market could depress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remains concentrated in the hands of our management, who will continue to be able to exercise a direct or indirect controlling influence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directors and executive officers together beneficially own approximately 61.91% of our Ordinary Shares issued and outstanding. As a result, these shareholders, acting together, will have significant influence over all matters that require approval by our shareholders, including the election of directors and approval of significant corporate transactions. Corporate action might be taken even if other shareholders oppose them. This concentration of ownership might also have the effect of delaying or preventing a change of control of our Company that other shareholders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the ADSs, as well as future issuances of ADSs or Ordinary Shares or securities convertible into, or exercisable or exchangeable for, ADSs or Ordinary Shares, could adversely affect their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ADSs in the public market, or the perception that these sales could occur, could adversely affect the market price of the ADSs and could materially impair our ability to raise capital through equity offerings in the future. Additionally, future issuances of ADSs or our Ordinary Shares or securities convertible into, or exercisable or exchangeable for, ADSs or our Ordinary Shares, could cause the market price of the ADSs to decline. Future issuances of ADSs or our Ordinary Shares would result in the dilution of your holdings.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publish a negative report regarding the ADSs, the price of the ADSs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the ADSs may depend in part on the research and reports that industry or securities analysts publish about us or our business. We do not have any control over these analysts. If one or more of the analysts who cover us downgrades us, the price of the ADSs would likely decline. If one or more of these analysts ceases coverage of us or fails to regularly publish reports on us, we could lose visibility in the financial markets, which could cause the price of the ADSs and the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ADSs may be volatile or may decline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ADSs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revenue and other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we may provide to the public, any changes in these projections, or our failure to meet these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of securities analysts who initiate or maintain coverage of us, changes in financial estimates by any securities analysts who follow our Company, or our failure to meet these estimates or the expectations of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products, technical innovations, acquisitions, strategic partnerships, joint ventures, or capital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overall stock market, including as a result of trends in the economy as a whole;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the ADSs on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or Ordinary Shares by us, our executive officers and directors, or our shareholders or the anticipation that such sales may occur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rumors and market speculation involving us or other companies in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intellectual property or other proprietary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or completed acquisitions of businesses or technologies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or regulations or new interpretations of existing laws or regulations applicable to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and regulations as well as accounting standards, policies, guidelines,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change in our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threatened or filed against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or incidents of terrorism, or responses to these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litigation has often been instituted against companies following periods of volatility in the overall market and in the market price of a company’s securities. On March 24, 2026, certain plaintiffs filed a putative civil class action complaint before the Supreme Court of the State of New York, New York County (the “New York Court”), requesting judicial intervention. We have not yet been formally served with the summons and complaint filed in the action. See “Item 8. Financial Information—A. Consolidated Statements and Other Financial Information—Legal Proceedings” for additional information. The Company’s involvement in securities litigation could subject us to substantial costs, divert resources and the attention of management from our business,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 over financial reporting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the ADSs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Sarbanes-Oxley Act of 2002. Section 404 of the Sarbanes-Oxley Act of 2002 (“Section 404”) will require that we include a report of management on our internal control over financial reporting in our annual report on Form 20-F beginning with our second annual report following the completion of our IPO. In addition, once we cease to be an “emerging growth company,” as such term is defined in the Jumpstart Our Business Startups Act of 2012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Nasdaq on which we list, regulatory investigations, and civil or criminal sanctions. We may also be required to restate our financial statements for prior periods. See “Item 15. Controls And Procedures”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multiple material weaknesses in our internal control over financial reporting and, as a result, management has concluded that our internal control over financial reporting and our disclosure controls and procedures were not effective as of March 31, 2026.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identified as of the date of this annual report relate to (i) insufficient financial reporting and accounting personnel with appropriate knowledge of U.S. GAAP and SEC reporting requirements; (ii) inadequate segregation of duties in the authorization, recording, and review of transactions; and (iii) deficiencies in our financial closing, reconciliation, and review procedures. Moreover, during the audit of the financial statements for the fiscal year ended March 31, 2025, we identified an inadequate segregation of duties within key financial reporting processes, including the authorization, recording, and review of transactions as material weaknesses in our internal control over financial reporting which may result in unauthorized or erroneous transactions to be processed without independent verification or detection. During the audit for the fiscal year ended March 31, 2026, numerous material post-closing adjustments were also required. As of the date of this annual report, the foregoing material weaknesses have not been rectified. The material weaknesses in our internal control over financial reporting could also result in other misstatements of our accounts or disclosures, which may result in additional material misstatements in our annual or interim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identification of the material weaknesses described above, we plan to take remedial measures, including (i) hiring more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and (iii) setting up an internal audit function as well as engaging an external consulting firm to assist us with the assessment of Sarbanes-Oxley compliance requirements and improvement of overall internal control. With the implementation of these measures, we aim to become fully compliant with the relevant U.S. GAAP and SEC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implementation of these measures may not fully address the material weakness in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undertaken a comprehensive assessment of our internal control under the Sarbanes-Oxley Act for purposes of identifying and reporting any other weaknesses in our internal control over financial reporting. Our failure to correct the material weaknesses we have already identified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extreme stock price volatility unrelated to our actual or expected operating performance, financial condition, or prospects, making it difficult for prospective investors to assess the rapidly changing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there have been instances of extreme stock price run-ups followed by rapid price declines and high stock price volatility with companies that have recently publicly issued shares, especially among companies with relatively smaller public floats. As a relatively small-capitalization company with relatively small public float, we may experience greater stock price volatility, extreme price run-ups, lower trading volume, and less liquidity than large-capitalization companies. In particular, the ADSs may be subject to immediate and substantial price volatility, low volumes of trades, and large spreads in bid and ask prices. Such volatility, including any stock-run up, may be unrelated to our actual or expected operating performance, financial condition, or prospects, making it difficult for prospective investors to assess the rapidly changing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the ADSs are low, persons buying or selling in relatively small quantities may easily influence prices of the ADSs. This low volume of trades could also cause the price of the ADSs to fluctuate greatly, with large percentage changes in price occurring in any trading day session. Holders of the ADSs may also not be able to readily liquidate their investment or may be forced to sell at depressed prices due to low volume trading. Broad market fluctuations and general economic and political conditions may also adversely affect the market price of the ADSs. As a result of this volatility, investors may experience losses on their investment in the ADSs. A decline in the market price of the ADSs also could adversely affect our ability to issue additional ADSs or Ordinary Shares or other securities and our ability to obtain additional financing in the future. No assurance can be given that an active market in the ADSs will be sustained. If an active market is not sustained, holders of the ADSs may be unable to readily sell the shares they hold or may not be able to sell their shares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of our available funds and any future earnings to fund the operation, development, and growth of our business and, as a result, we do not expect to declare or pay any dividends in the foreseeable future. Therefore, you should not rely on an investment in the ADSs as a source for any future dividend income.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intend to follow home country practice, even though we will be considered a “controlled company” under Nasdaq corporate governance rules, which could adversely affect our public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Mr. Hidetoshi Yokoyama, our chairman and representative director, owns more than a majority of the voting power of our outstanding Ordinary Shares. Under the Nasdaq corporate governance rules, a company of which more than 50% of the voting power is held by an individual, group, or another company is a “controlled company” and may elect not to comply with certain Nasdaq corporate governance standards, including the requirements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its board of directors consist of independent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a compensation committee that is composed entirely of independent directors with a written charter addressing the committee’s purpose and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however, Nasdaq corporate governance rules allow us to follow corporate governance practice in our home country, Japan, with respect to appointments to our board of directors and committees. We intend to follow home country practice as permitted by Nasdaq rather than rely on the “controlled company” exception to the corporate governance rules. See “—Because we are a foreign private issuer and intend to take advantage of exemptions from certain Nasdaq corporate governance standards applicable to U.S. issuers, you will have less protection than you would have if we were a domestic issuer.” Accordingly, you would not have the same protections afforded to shareholders of companies that are subject to all of the corporate governance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shareholders under Japanese law may be different from rights of shareholders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the Companies Act of Japan (Act No. 86 of 2005, as amended) (the “Companies Act”), or the Companies Act, govern our corporate affairs. Legal principles relating to matters such as the validity of corporate procedures, directors’ and executive officers’ fiduciary duties, and obligations and shareholders’ rights under Japanese law may be different from, or less clearly defined than, those that would apply to a company incorporated in any other jurisdiction. Shareholders’ rights under Japanese law may not be as extensive as shareholders’ rights under the law of other countries. For example, under the Companies Act, only holders of 3% or more of our total voting rights or our outstanding shares are entitled to examine our accounting books and records. Furthermore, there is a degree of uncertainty as to what duties the directors of a Japanese joint-stock corporation may have in response to an unsolicited takeover bid, and such uncertainty may be more pronounced than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holders of ADSs, you may have fewer rights than holders of our Ordinary Shares and must act through the depositary to exercise those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shareholders under the Companies Act, including voting their shares, receiving dividends and distributions, bringing derivative actions, examining our accounting books and records, and exercising appraisal rights, are available only to shareholders of record. Because the depositary, through its custodian, is the record holder of our Ordinary Shares underlying the ADSs, only the depositary can exercise those rights in connection with the deposited shares. ADS holders will not be able to, for example, perform shareholders’ rights under the Companies Act such as bring a derivative action, examine our accounting books and records, or exercise appraisal rights through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annual report and in the deposit agreement, holders of ADSs are not able to exercise voting rights attaching to the Ordinary Shares evidenced by their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will have a right to instruct the depositary how to exercise the voting rights attaching to the underlying Ordinary Shares represented by the ADSs. Otherwise, you, as an ADS holder, will not be able to exercise your right to vote unless you withdraw the underlying Ordinary Shares represented by the ADSs. However, you may not know of the meeting sufficiently in advance to withdraw the Ordinary Shares. If we ask for instructions from ADS holders, the depositary will notify you of the upcoming vote and arrange to deliver our voting materials to you. If we do not ask for instructions, you could still give the depositary voting instructions, but the depositary would not be obligated to try to carry out those instructions. We cannot assure you that you will receive voting materials in time to instruct the depositary to vote, and it is possible that you, including persons who hold their ADSs through brokers, dealers, or other third parties, will not have the opportunity to exercise a right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agreeing to the provisions of the deposit agreement, it will not be deemed that you have waived the right to our compliance with the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acquisition of our Ordinary Shares is subject to a prior filing requirement under recent amendments to the Japanese Foreign Exchange and Foreign Trade Act and related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engaged in certain businesses designated by the Foreign Exchange and Foreign Trade Act of Japan (Act No. 228 of 1949, as amended, the “FEFTA”), and its related cabinet orders and ministerial ordinances (collectively, the “Foreign Exchange Regulations”), such as a software business and information processing business, if a foreign investor, as defined under the FEFTA, intends to consummate an acquisition of our Ordinary Shares that constitutes an “inward direct investment” (“IDI”) under the Foreign Exchange Regulations, the foreign investor, in general, must file prior notification of such inward direct investment with the Minister of Finance and any other competent minister (“Ministers.”) IDI includes an acquisition by a foreign investor of one or more of our Ordinary Shares. If such prior notification is filed, the proposed acquisition may not be consummated until the prescribed screening period expires. In some cases, the Ministers may extend the screening period, and may recommend or order a modification or abandonment of such acquisition. In addition, if certain conditions, including those prescribed in light of national security of Japan under the Foreign Exchange Regulations are met, the Ministers may order the disposal of the shares acquired or take other measures. Consequently, any foreign investor seeking to acquire our Ordinary Shares that constitutes an IDI may not consummate such acquisition on the expected timeframe, in accordance with an intended plan,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 foreign investor holds one or more voting rights and, at a general meeting of shareholders, consents to certain proposals having a material influence on our management such as the (i) election of such foreign investor or any of its related persons (as defined in the Foreign Exchange Regulations) as our directors or (ii) transfer or discontinuation of our business, such consent, subject to certain exemptions, also constitutes an IDI requiring prior notification. If such prior notification is filed, such consent may not be given until the prescribed screening period expires. As a result, such foreign investors may have difficulties giving such consent in accordance with an intended plan,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above is not exhaustive of all possible foreign exchange controls requirements that may apply to a particular investor, and potential investors are advised to satisfy themselves as to the overall foreign exchange controls consequences of the acquisition, ownership, and disposition of our Ordinary Shares or the ADSs by consulting their own advisors. For a more detailed discussion on the requirements and procedures regarding the prior notifications under the Foreign Exchange Regulations, see “Item 4. Information on The Company B—Business Overview—Regulations—Foreign Exchange and Foreign Trade Act” and “Item 10. Additional Information—D.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to the fullest extent permitted by law, ADS holders waive the right to a jury trial for any claim they may have against us or the depositary arising out of or relating to our Ordinary Shares, the ADSs, or the deposit agreement, which may include any claim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We believe, however,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 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(including purchasers of the ADSs in the secondary market) or by us or the depositary of compliance with the U.S. federal securities laws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may not receive distributions on our Ordinary Shares or any value for them if it is illegal or impractical to make them available to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of the ADSs will agree to pay holders of ADSs any cash dividends or other distributions it or the custodian for the ADSs receives on the Ordinary Shares or other deposited securities after deducting its fees and expenses. Holders of ADSs will receive these distributions in proportion to the number of our Ordinary Shares that such ADSs represent. However, the depositary will not be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pursuant to an applicable exemption from registration. We have no obligation to effect any registration or to take any other action to permit distributions on our Ordinary Shares or other securities to holders of ADSs. This means that holders of ADSs may not receive the distributions we make on our Ordinary Shares if it is illegal or impractical to make them available to such holders. These restrictions may materially reduce the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may be subject to limitations on transfer of their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deposit agreement without consent from holders of ADSs and, if such holders disagree with our amendments, their choices will be limited to selling the ADSs or withdrawing the underlying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without consent from holders of ADSs. If an amendment increases fees to be charged to ADS holders or prejudices a material right of ADS holders, it will not become effective until 30 days after the depositary notifies ADS holders of the amendment. At the time an amendment becomes effective, ADS holders are considered, by continuing to hold their ADSs, to have agreed to the amendment and to be bound by the amended deposit agreement. If holders of ADSs do not agree with an amendment to the deposit agreement, their choices will be limited to selling the ADSs or withdrawing the underlying Ordinary Shares. No assurance can be given that a sale of ADSs could be made at a price satisfactory to the holder in such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incorporated in Japan, and it may be more difficult to enforce judgments obtained in courts outside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Japan as a joint-stock corporation with limited liability. All of our directors are non-U.S. residents, and our assets and the personal assets of our directors and executive officers are located outside the United States. As a result, when compared to a U.S. company, it may be more difficult for investors in the U.S. to effect service of process upon us or to enforce against us, our directors or executive officers, judgments obtained in U.S. courts predicated upon civil liability provisions of the federal or state securities laws of the U.S. or similar judgments obtained in other courts outside Japan. There may be doubt as to the enforceability in Japanese courts, in original actions or in actions for enforcement of judgments of U.S. courts, of civil liabilities predicated solely upon the federal and state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payments and the amount you may realize upon a sale of our Ordinary Shares or the ADSs that you hold will be affected by fluctuations in the exchange rate between the U.S. dollar and JPY.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in respect of our Ordinary Shares represented by the ADSs will be paid to the depositary in JPY and then converted by the depositary into U.S. dollars, subject to certain conditions and terms of the deposit agreement. Accordingly, fluctuations in the exchange rate between JPY and the U.S. dollar will affect, among other things, the amounts a holder of ADSs will receive from the depositary in respect of dividends, the U.S. dollar value of the proceeds that a holder of ADSs would receive upon sale in Japan of our Ordinary Shares obtained upon surrender of ADSs and the secondary market price of ADSs. Such fluctuations will also affect the U.S. dollar value of dividends and sales proceeds received by holders of our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our executive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United States domestic issuers, and we are not be required to disclose in our periodic reports all of the information that United States domestic issuers are required to disclose. We may cease to qualify as a foreign private issuer in the future, in which case we would incur significant additional expenses that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have taken advantage of exemptions from certain Nasdaq corporate governance standards applicable to U.S. issuers, you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require listed companies to have, among other things, a majority of its board members be independent. As a foreign private issuer, however, we are permitted to follow home country practice in lieu of the above requirements. The corporate governance practice in our home country, Japan, does not require a majority of our board to consist of independent directors. Thus, although a director must act in the best interests of the Company, it is possible that fewer board members will be exercising independent judgment and the level of board oversight on the management of our Company may decrease as a result. In addition, Nasdaq listing rules require U.S. domestic issuers to have an audit committee, a compensation committee and a nominating/corporate governance committee composed entirely of independent directors, and an audit committee with a minimum of three members. We intend to follow home country practice, as permitted by Nasdaq. Accordingly, you would not have the same protections afforded to shareholders of companies that are subject to all of the corporate governance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continue to satisfy listing requirements and other rules of Nasdaq, the ADSs may be delisted, which could negatively impact the price of the ADSs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Nasdaq to list the ADSs under the symbol “LAWR”. However, although the ADSs are listed on Nasdaq, we cannot assure you that the ADSs will continue to be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maintain our listing on Nasdaq, we are required to comply with certain rules of Nasdaq, including those regarding minimum stockholders’ equity, minimum share price, minimum market value of publicly held shares, and various additional requirements. Even if we initially met the listing requirements and other applicable rules of Nasdaq, we may not be able to continue to satisfy these requirements and applicable rules. If we are unable to satisfy Nasdaq criteria for maintaining our listing, the ADSs could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enumerated criteria for continued listing, Nasdaq Listing Rule 5101 provides Nasdaq with broad discretionary authority over the continued listing of securities on Nasdaq. Nasdaq may use such discretion to apply additional or more stringent criteria for the continued listing of particular securities, or to suspend or delist particular securities based on any event, condition, or circumstance that exists or occurs that makes continued listing of the securities on Nasdaq inadvisable or unwarranted in the opinion of Nasdaq, even though the securities meet all enumerated criteria for continued listing on Nasdaq. On June 3, 2026, the SEC approved Nasdaq Rule IM-5101-4, which specifies how Nasdaq will utilize its authority under Nasdaq Listing Rule 5101 to delist securities where (i) the securities exhibit trading activity that is indicative of potential manipulation; (ii) the SEC has implemented a temporary trading suspension of such securities pursuant to Section 12(k) of the Exchange Act (a “Section 12(k) suspension”) with respect to such securities; and (iii) Nasdaq determines that delisting such securities is necessary to protect investors. Under this Rule IM-5101-4, Nasdaq may exercise this authority on a case-by-case basis, and in applying its discretion Nasdaq will consider all relevant facts and circumstances. Nasdaq may exercise its authority under Rule IM-5101-4 even where the potential manipulation appears to be driven by third parties with no known connection to the company. If Nasdaq makes a determination to delist securities pursuant to its authority under Rule IM-5101-4, a company may seek a review of such determination pursuant to Nasdaq Listing Rule 5815. However, as Rule IM-5101-4 is newly implemented, the criteria pursuant to which an appeal may succeed remain uncertain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2025, we received from the SEC an order of Section 12(k) suspension, suspending trading in the ADSs for the period from 4:00 a.m. EDT on October 23, 2025, through 11:59 p.m. EDT on November 5, 2025. On November 6, 2025, Nasdaq announced that trading in the ADSs was halted for additional information requested from us. Since October 29, 2025, we have received multiple information requests from Nasdaq for certain information and documents, and we have timely submitted written responses thereto with supporting documents to Nasdaq. As of the date of this annual report, we have not received any further follow-up requests from Nasdaq and continue to closely monitor the situation. As of the date of this annual report, the trading in ADSs remains suspended. While we remain fully committed to cooperating with Nasdaq, the SEC, and all relevant regulatory authorities to address any outstanding matters in a transparent and timely manner, we cannot guarantee when the trading of our ADSs will resume. The details of the foregoing notice are described in the reports of foreign private issuer on Form 6-K filed with the SEC on October 28, 2025 and November 6, 2025 (File No. 001-42740),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Rule IM-5101-4, on July 22, 2026, the SEC approved Nasdaq’s new continued listing requirement requiring all companies listed on the Nasdaq Global Market or Nasdaq Capital Market to maintain a minimum market value of listed securities of US$5 million. Under this new rule, if a company’s market value of listed securities falls below this threshold for 30 consecutive trading days, Nasdaq may immediately suspend trading and initiate delisting proceedings without affording the company a compliance cure period. This rule is, therefore, in addition to Nasdaq’s existing continued listing requirements, which include the maintenance of a minimum bid price, number of holders of publicly held shares, and shareholders’ equity, among others. If the market value of our Ordinary Shares, as represented by ADSs, were to fall below the $5 million threshold or we otherwise fail to satisfy Nasdaq’s continued listing standards, we could face delisting proceedings on an accelerated basis. We cannot assure you that we will be able to maintain compliance with Nasdaq’s continued listing standards, particularly in light of our trading volume, market capitalization, public float and other qualitative factors. If we are unable to maintain our Nasdaq listing, we may be forced to trade on an over-the-counter market, which may be less liquid and more volatile and could impair investors’ ability to buy or sell our ADSs. The loss of our Nasdaq listing could also reduce our visibility and credibility in the market and adversely affect our ability to access capital through future 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ADSs are delisted from Nasdaq, we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availability for market quotations for the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the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the ADS is a “penny stock,” which will require brokers trading in the ADSs to adhere to more stringent rules and possibly result in a reduced level of trading activity in the secondary trading market for the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amount of news and analyst coverage;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we have taken advantage of certain exemptions from disclosure requirements available to emerging growth companies, this will make it more difficult to compare our performance with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will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taxpayers who own the ADSs or our Ordinary Shares may have adverse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ourselves will be classified as a passive foreign investment company (“PFIC”) for any taxable year if, for such year,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75% of our gross income for the year is passive income;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percentage of our assets (determined at the end of each quarter) during the taxable year which produce passive income or which are held for the production of passive income is at least 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the ADSs or our Ordinary Shares, the U.S. taxpayer may be subject to increased U.S. federal income tax liability and may be subject to additional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our operations, together with any other assets held for the production of passive income, it is possible that, for our 2025 taxable year or for any subsequent year, more than 50% of our assets may be assets which produce passive income, in which case we would be deemed a PFIC, which could have adverse U.S. federal income tax consequences for U.S. taxpayers who are shareholders. We will make this determination following the end of any particular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or are determined to be a PFIC, see “Item 10. Additional Information—E. Taxation— United States Federal Income Taxation —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ADVISERS ABOUT THE PFIC RULES, THE POTENTIAL APPLICABILITY OF THESE RULES TO THE COMPANY CURRENTLY AND IN THE FUTURE, AND THEIR FILING OBLIGATIONS IF THE COMPANY IS A PFIC.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sh_006"/>
      <w:bookmarkEnd w:id="51"/>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was incorporated in Minato Ward, Tokyo, Japan on April 17, 2020, as a joint-stock corporation (kabushiki kaisha) with limited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our shareholders approved the share split of the 7,035 outstanding Ordinary Shares at a ratio of 1:1000 which was based on a record date of February 5, 2024 and became effective on February 5, 2024, resulting in 7,027,965 Ordinary Shares being issued after the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2024, the Company’s board of directors approved a 1-for-6 share split of its issued and outstanding Ordinary Shares. The total number of outstanding Ordinary Shares increased from 7,035,000 to 42,210,000 as a result of such share split, which became effective on January 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we closed our IPO of 3,750,000 ADSs at a price to the public of $4.00 per ADS. Each ADS represents one Ordinary Share of the Company. In connection with the IPO, the ADSs began trading on the Nasdaq Capital Market under the symbol “LAWR” on July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2025, we received from the SEC an order of Section 12(k) suspension, suspending trading in the ADSs for the period from 4:00 a.m. EDT on October 23, 2025, through 11:59 p.m. EDT on November 5, 2025. On November 6, 2025, Nasdaq announced that trading in the ADSs was halted for additional information requested from us. Since October 29, 2025, we have received multiple information requests from Nasdaq for certain information and documents, and we have timely submitted written responses thereto with supporting documents to Nasdaq. As of the date of this annual report, we have not received any further follow-up requests from Nasdaq and continue to closely monitor the situation. As of the date of this annual report, the trading of the Company’s ADSs remains suspended. See also “Item 3. Key Information—D. Risk Factors—Risks Relating to the Trading Market—If we cannot continue to satisfy listing requirements and other rules of Nasdaq, the ADSs may be delisted, which could negatively impact the price of the ADSs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our corporate structure as of the date of this annual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11,358,000 Ordinary Shares held by 39 shareholders of our Company, each of which holds less than 5% of our Ordinary Shares, as of the date of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headquarters are located at Le Gratteciel Building 2, 6th Floor, 5-22-6 Shimbashi, Minato Ward, Tokyo, 105-0004, Japan and our phone number is +81 3-6280-5477. Our website address is </w:t>
      </w:r>
      <w:r>
        <w:rPr>
          <w:rFonts w:ascii="Times New Roman;Times;Serif" w:hAnsi="Times New Roman;Times;Serif"/>
          <w:b w:val="false"/>
          <w:i/>
          <w:caps w:val="false"/>
          <w:smallCaps w:val="false"/>
          <w:sz w:val="20"/>
        </w:rPr>
        <w:t>https://robotconsulting.net/</w:t>
      </w:r>
      <w:r>
        <w:rPr>
          <w:rFonts w:ascii="Times New Roman;Times;Serif" w:hAnsi="Times New Roman;Times;Serif"/>
          <w:b w:val="false"/>
          <w:i w:val="false"/>
          <w:caps w:val="false"/>
          <w:smallCaps w:val="false"/>
          <w:sz w:val="20"/>
        </w:rPr>
        <w:t>. The information contained in, or accessible from, our website or any other website does not constitute a part of this annual report or the registration statement of which it forms a part. Our agent for service of process in the United States is Cogency Global Inc., located at 122 East 42nd Street, 18th Floor, New York, NY 10168.</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our principal capital expenditures, see “Item 5. Operating and Financial Review and Prospects—B.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platform service provider focusing on human resource solutions with an intention to expand into legal technology. We primarily sell certain software related to digital transformation and legal technology and provide consulting and support services relating to digital transformation to small and medium-sized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our sales of software, our current major product is “Labor Robot,” a cloud-based human resource management system launched in September 2022. Labor Robot helps users track employee attendance and sales orders and journalize accounting items. Additionally, we provide the information relating to grant applications with MHLW, which will provide grants to small and medium-sized businesses to enhance their working conditions and employee welfare. Labor Robot also facilitates users in evaluating the types of grants they may be eligible for. In addition, we connect users interested in applying for grants with Certified Consultants. In addition to grant applications, we also support users who want to apply for a subsidy with METI for the Digitalization &amp; AI Implementation Subsidy by connecting users interested in applying for a subsidy with our partners specializing in subsidy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Labor Robot users grew to 261 users as of March 31, 2023, and to 483 users as of March 31, 2024, with 222 new users added during the fiscal year ended March 31, 2024. The number of Labor Robot users grew further to 536 as of March 31, 2025, with 53 new users added during the fiscal year ended March 31, 2025. The number of Labor Robot users grew to 715 as of March 31, 2026, with 179 new users added during the fiscal year ended March 31, 2026. Labor Robot users are the users of Labor Robot who directly purchase Labor Robot from us and the users who purchase it from Nac Co., Ltd. (“Nac”), a Japanese conglomerate that operates a water server business, sells and rental dust control products, provides architectural consulting, and manufactures and sells beauty product manufacturing. Nac is the largest distributor contributing to the increased numbers of Labor Robot users during the fiscal year ended March 31, 2024. See “—Our Marketing Channel”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we launched two additional software products, Robot Lawyer and Billing Robot. Robot Lawyer is designed to optimize the process by which individuals and small business users may determine to seek legal services by providing such users with preliminary legal consultation resources, particularly with respect to defamation, employment disputes, divorce, traffic accidents, inheritance, and debt settlement. While we earned some immaterial revenue when providing trial services during Robot Lawyer’s development, we are currently providing this service for free of charge. During this fiscal year ending March 31, 2027, we plan to offer Robot Lawyer for free, while we endeavor to grow the user base. In addition to Robot Lawyer, we launched Billing Robot, a cloud-based B2B billing and payment solution specifically designed for small businesses to improve their cash flow flexibility and operational efficiency. The primary source of revenue generated by Billing Robot received by us is derived from (i) a one-time software licensing fee that ranges from JPY1 million to JPY3 million from each client that wishes to use the add-on features of Billing Robot, and (ii) service fees received from Infurcion Inc. (“Infcurion”), pursuant to the partnership agreement between Infcurion and us, in which we agreed to make referrals of potential business customers who may which to use Infcurion’s invoice payment service. See “—Our Business Model—Sales of Software—Billing Robot” for details.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sales of software, we also provide consulting and support services relating to digital transformation to small and medium-sized businesses. During the fiscal year ended March 31, 2026, our services included (i) e-learning services, (ii) software installation services, and (iii) Digitalization &amp; AI Implementation Subsidy application consulting and support services. During the fiscal year ended March 31, 2025, our services included (i) e-learning services, and (ii) software installation services. During the fiscal year ended March 31, 2024, our services included (i) e-learning services, (ii) e-commerce store set-up services, and (iii) software installation services. We ceased providing the Digitalization &amp; AI Implementation Subsidy application consulting and support services in the fiscal year ended March 31, 2024 and e-commerce store set-up services in the fiscal year ended March 31, 2025, in order to focus our efforts on the expansion of sales of our Labor Robot and such subsidy application and support services in the fiscal year ended March 31, 2026. A determination as to whether we will resume, continue, or cease to provide certain services in the future may be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our total revenue was JPY611,708 thousand (approximately $3,845 thousand), JPY675,561 thousand, and JPY693,104 thousand, respectively. Our revenue streams include (i) sales of software, (ii) provision of consulting and support services, and (ii) others, which was derived from the service fee received from Infcurion. The revenue from the sales of software during the fiscal years ended March 31, 2026, 2025 and 2024 was JPY294,528 thousand (approximately $1,851 thousand), JPY150,971 thousand, and JPY75,125 thousand, constituting 48.1%, 22.3%, and 10.8% of our total revenue of such fiscal year, respectively. The revenue from the provision of consulting and support services during the fiscal years ended March 31, 2026, 2025, and 2024 was JPY315,291 thousand (approximately $1,982 thousand), JPY524,590 thousand, and JPY617,979 thousand, constituting 51.5%, 77.7% and 89.2% of our total revenue of such fiscal years, respectively. The revenue from others during the fiscal year ended March 31, 2026 was JPY1,889 thousand (approximately $12 thousand), constituting 0.3% of the total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Growing a labor management platform for small and medium-sized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platform service provider focusing on human resource solutions seeking to expand into legal technology and the metaverse. We launched Labor Robot, a cloud-based human resource management system, in September 2022, and the number of Labor Robot users grew significantly from zero user to 261 users in the fiscal year ended March 31, 2023, representing a CAGR of 261%, and to 483 cumulative users for the fiscal year ended March 31, 2024, representing a CAGR of 85%. From April 1, 2024 to March 31, 2025, the number of cumulative users grew from 483 to 536, representing a CAGR of 11.0%. From April 1, 2025 to March 31, 2026, the number of cumulative users grew from 536 to 715, representing a CAGR of 33.4%.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and expansive connection with distribution agents and effective marketing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worked with 294 distribution agents who help us identify and attract potential small and medium-sized businesses for our products and services. We carefully select our distribution agents based on their expertise and ability to secure sales channels with small and medium-sized businesses in specific industries. We tend to hire agents who commit to organizing seminars to approach small and medium-sized companies in their respective geographical regions. To expand our business at this incubation stage, we encourage and support potential customers in applying for a Digitalization &amp; AI Implementation Subsidy with the METI. If successful, the METI will award such potential users a subsidy in an amount equal to up to two-thirds of the contract price. As a result, the subsidy will effectively reduce the costs the customer has to incur to install Labor Robot and the add-on features of our Billing Robot or use our services. We believe that this subsidy application support will encourage more users to select and use our services. See “—Our Marketing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Mr. Hidetoshi Yokoyama, our chairman and representative director, has ten years of experience working in the temporary staffing industry, he is familiar with the business and legal risks in labor and human resource management. Mr. Yokoyama established our Company, intending to digitalize the professional service industry, including lawyers and Certified Consultants (Shigyo). With his background serving as an advisor at several Certified Consultant Corporations, we have developed close connections with other entities in this market. This has given us insight into practical ways to promote our business to small and medium-sized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Mr. Amit Thakur, our director and Chief Executive Officer, has extensive experience in software engineering, developing startups, and serving in international banks. With our management team’s diverse yet profound business and IT experience, we believe we are able to continue launching services and products with advanced technology that help modernize professional services in Japan and the 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 to approach prospective customers through seminars held by our distributor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marketing strategy for our products and services, we plan to continue approaching small and medium-sized businesses, particularly those not located in metropolitan areas. To approach these prospective customers effectively, we plan to continuously expand and leverage our distributor network. We believe that seminars serve as an effective promotional strategy, and we will continue encouraging our distributors to hold such seminars to approach prospective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with CJK Group to launch “Junior Lawyer X” in the 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expand into the U.S. legal technology market. As our first step, in July 2023, we entered into a product development agreement with CJK Group, the U.S. and Japan-based legal outsourcing service provider. Specifically, we agreed to invest in CJK Group’s development of Junior Lawyer X, a tool that will seek to automate certain manually intensive legal tasks, i.e., U.S. e-discovery process, conducted by lawyers in the U.S. We paid CJK Group a fee equal to $300,000 and the development process is now complete. In return, we will benefit from a profit-sharing arrangement once the product is ready for commercialization. The terms of the profit-sharing arrangement provide that we are entitled to 50% of all gross revenue earned from sales, license, distribution, or other exploitation of Junior Lawyer X in perpetuity, and all legal title, claim, interest, goodwill, and/or other rights in or to any intellectual property and work products shall remain the sole and exclusive property of CJK Group. See “—Our Suppliers.” CJK Group also employs AI technology in Junior Lawyer X, including third-party AI technology, and such incorporation may present operational and reputational risks, including the risk of being unable to appropriately respond to evolving regulatory frameworks. See “Item 3. Key Information—D. Risk Factors—Risks Related to Our Business and Industry—We plan to incorporate AI technologies into some of our products and services, which may present operational and reputational risks,” “Item 3. Key Information—D. Risk Factors—Risks Related to Our Business and Industry—Our ability to successfully integrate AI technologies in our future product may be dependent on our access to specific third-party software and infrastructure and our business may be adversely impacted if we are unable to access such third-party software and infrastructure,” and “Item 3. Key Information—D. Risk Factors—Risks Related to Our Business and Industry—Some aspects of our future products and services may incorporate open-source AI technology, and our future use of open-source AI technology could negatively affect our business, results of operations, financial condition, and prospects.” The joint development with CJK Group has been on hold since the suspension of trading of the ADSs. See “Item 4. Information of the Company—A. History and Development of the Company—Corporate History” and “Item 3. Key Information—D. Risk Factors—Risks Relating to the Trading Market—If we cannot continue to satisfy listing requirements and other rules of Nasdaq, the ADSs may be delisted, which could negatively impact the price of the ADSs and your ability to sell them.” Our policy regarding the expansion into the U.S. legal market will be determined again after the conclusion of the trading suspension.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Expansion into the legal technology business in Japan through “Robot Lawyer”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launched Robot Lawyer (Robot Bengoshi). Robot Lawyer is designed to optimize the process by which individuals and small business users may determine to seek legal services by providing such users with preliminary legal consultation resources, particularly with respect to defamation, employment disputes, divorce, traffic accidents, inheritance, and debt settlement. The platform has employed a third-party generative AI chatbot, which we have trained to provide empathetic and appropriate responses to users for the foregoing purposes. See “—Our Business Model—Sales of Software—Robot Lawyer”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third-party generative AI technologies may present operational and reputational risks. See “Item 3. Key Information—D. Risk Factors—Risks Related to Our Business and Industry—We plan to incorporate AI technologies into some of our products and services, which may present operational and reputational risks,” “Item 3. Key Information—D. Risk Factors—Risks Related to Our Business and Industry—Our ability to successfully integrate AI technologies in our future product may be dependent on our access to specific third-party software and infrastructure and our business may be adversely impacted if we are unable to access such third-party software and infrastructure,” and “Item 3. Key Information—D. Risk Factors—Risks Related to Our Business and Industry—Some aspects of our future products and services may incorporate open-source AI technology, and our future use of open-source AI technology could negatively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we intend to pursue a two-sided channel strategy to expand the use of Robot Lawyer. On the consumer side, we plan to build our own legal-focused media platform and embed Robot Lawyer on this platform and use it as Robot Lawyer’s marketing channel. We also plan to integrate Robot Lawyer with LINE, which is one of Japan’s widely used communication platforms. On the professional side, we plan to deploy an “Intake Robot” based on the developed Robot Lawyer. Intake Robot is an AI solution that is designed to help conduct structured client hearings and deliver organized intake sheets to attorneys, which program will be marketed initially to target law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building and testing the platform into which we will incorporate Robot Lawyer. We also have commenced approaching small and medium law firms interested in Intake Robot and have agreed with a certain law firm to do a test run of Intake Robot at such law firm in September 2026. We intend to improve Intake Robot’s features based on the testing results and feedback we receive. We plan to complete the development of the platform into which we will incorporate Robot Lawyer and Intake Robot by the end of the fiscal year ending March 31, 2027.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generate revenue from the following principal sources: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Software: We develop human resource management and legal technology-related software for customers. Our main products include (i)Labor Robot, (ii) Robot Lawyer, and (iii) Billing Robot.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Support Services: during the latest three fiscal years, we provided (i) Digitalization &amp; AI Implementation Subsidy application consulting and support services, (ii) e-learning services, (iii) e-commerce store set-up services, and (iv) software installation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We earn service fees from Infurcion, pursuant to the partnership agreement between Infcurion and us related to Billing Robot. See “—Sales of Software—Billing Robot” for more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our revenue for the fiscal years ended March 31, 2026, 2025 and 2024. See also “Item 5. Operation and Financial Review and Prospects—A. Operating Results.”</w:t>
      </w:r>
    </w:p>
    <w:p>
      <w:pPr>
        <w:pStyle w:val="TextBody"/>
        <w:bidi w:val="0"/>
        <w:spacing w:before="0" w:after="0"/>
        <w:ind w:left="0" w:right="0" w:hanging="0"/>
        <w:jc w:val="both"/>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2705"/>
        <w:gridCol w:w="60"/>
        <w:gridCol w:w="60"/>
        <w:gridCol w:w="695"/>
        <w:gridCol w:w="60"/>
        <w:gridCol w:w="60"/>
        <w:gridCol w:w="60"/>
        <w:gridCol w:w="695"/>
        <w:gridCol w:w="60"/>
        <w:gridCol w:w="60"/>
        <w:gridCol w:w="60"/>
        <w:gridCol w:w="69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JPY in thousands</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10"/>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Support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Labor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Robot (Roumu Robo) is a cloud-based platform designed to assist small and medium-sized businesses in managing their employees and overseeing sale orders and accounting functions. In addition to fundamental functions, such as employee attendance management, accounting journalizing, and sales order preparation, we provide information relating to grant applications and facilitate users in evaluating the types of grants they may be eligible for. In addition, we connect users interested in grant applications with a Certified Consultant to assist businesses in the preparation of necessary documents for grant applications. We also connect users interested in applying for a government subsidy with our partners specializing in subsidy applications. The detailed functions of Labor Robot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 Grant and subsidy application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function provides users with necessary information related to grant and subsidy applications and facilitates them in evaluating the types of grants and subsidies they may be eligible for. Labor Robot also connects users with Certified Consultants, who assist in preparing the applications. Additionally, with Labor Robot, users may conduct chat-based free consultation sessions with our partnered Certified Consultants regarding the applications to address any questions.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differences between grants and subsidies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9"/>
        <w:gridCol w:w="60"/>
        <w:gridCol w:w="3922"/>
        <w:gridCol w:w="60"/>
        <w:gridCol w:w="4374"/>
      </w:tblGrid>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Subsidies </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Purpose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compensate the investment made by businesses in human resources (e.g., to boost employment, improve work environment or employees’ skills and 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investment that boost business expansion for small and medium-sized businesses</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authority in charge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MHLW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METI</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obtain grants or subsidies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are usually required to: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meet the requirements set forth by relevant authorities for each grant;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 unemployment insurance coverage.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applicants meet the requirements, they are usually awarded grants.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are usually required to submit business plans for relevant authorities for screening or examination. The authority has discretion to award the subsidies or deny the applications.</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Grant/subsidies payment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Post-payment (average 1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Post-payment (average 6 months)</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prepared by Certified Consultants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could only be prepared and submitted by Certified Consultants.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17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 examples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Career development grants, work-life balance support grant, grant for employment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Subsidies for information technology system installation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Robot supports three grant applications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Career Development Grant (Kyaria Appu Joseikin) is a grant provided by MHLW to support companies in promoting their fixed-term, part-time, or temporary employees (hereinafter “temporary employees”) to permanent positions or in improving the working environment of temporary employees. This is achieved by setting up or revising the companies’ internal rules and systems regarding wages, bonus payments, retirement benefit plans, and social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Work-Life Balance Support Grant (Ryoritsu Shien Joseikin) is a grant provided by MHLW to encourage companies to support their employees in achieving work-life balance. This includes, for example, establishing internal systems allowing employees to take leaves for parental, childcare, and newborn care purposes. The grant also encourages companies to facilitate employees’ return to the workplace despite extended maternity or paternity leave.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Grant for Employment Promotion of Employees Older than the Age of 65 (65 Sai-chou Koyou Suishin Joseikin) is a grant provided by MHLW to support companies in hiring elderly individuals. Companies may become eligible for the grant by increasing the retirement age for employees to older than 65 years, establishing employment systems for the elderly, or transitioning fixed-term employees older than 50 years into permanent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these grants is usually determined based on the number of employees meeting the requirements set forth by the MHLW. Small and medium-sized businesses have to invest significant time and manpower to ensure that each of their employees meets the applicable requirements. Our Labor Robot aims to alleviate this burden by providing a preliminary simulation to help users understand the types and approximate amount of grants they may be eligible for. It visualizes the documents and action items required for the grant application and reminds users when the application deadline is approaching. We also plan to expand Labor Robot’s functions to cover other grants provided by MHLW.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with Labor Robot’s function, our targeted users can easily connect and have a preliminary consultation with social security and labor attorneys we are partnering with via our chat box, free of charge. Currently, we are partnering with ASC Consultant. ASC Consultant may also act on behalf of users in applying for grants. Users and Certified Consultants must separately enter into a service agreement since our platform only provides relevant information relating to the application and connects users with our partners. We also clearly state in our terms and conditions that we do not provide any warranty regarding Labor Robot, and we will not be liable for any damages arising from the use of Labor Robot. Notwithstanding the disclaimer we have in place, there is no assurance that customers will not sue us for any damages they experience arising from the use of Labor Robot. There is also no assurance that courts will not enter into judgments against us arising from such claims. In such events, our business operations, financial condition, and reputation may be materially and adversely affected. See “Item 3. Key Information—D. Risk Factors— Risks Related to Our Business and Industry —Our business could be adversely affected if our customers are not satisfied with the deployment services provided by us or our Certified Consultant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provide support for the application of two subsidies; namely, the Business Reconstruction Subsidy (Jigyo Sai-kouchiku Hojokin) and the Digitalization &amp; AI Implementation Subsidy (Digitaruka AI Donyu Hojokin), both provided by METI. We particularly focus on these two subsidies to support small and medium-sized businesses in kick-starting their metaverse operations. Since 2021, METI has granted the Business Reconstruction Subsidy to small and medium-sized enterprises as well as sole business proprietors to reconstruct their businesses affected by the COVID-19 pandemic. Depending on the type and situation of each customer, we apply for the subsidy using the Industrial Structure Transformation Framework (Sangyo Kouzou Tenkan Waku) and the Growth Framework (Seijo Waku).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users planning to launch a store in the metaverse could apply for a Digitalization &amp; AI Implementation Subsidy through the framework supporting the installation of an invoice system (Invoice Waku, the “Invoice Framework”). Under this category, costs for a software license, cloud service fees of no more than two years, and costs relating to installation may be subsidized: (i) for no more than three-fourths of the total cost, if such cost is no more than JPY500 thousand; and (ii) for no more than two-thirds of the total cost, if such cost is between JPY500 thousand to JPY3,500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we partnered with Kizashi, Apricot, and Senkou to help our users apply for the subsidies, while we also started handling the application internally. Kizashi is a Japanese corporation specializing in supporting its customers in applying for the Digitalization &amp; AI Implementation Subsidy. Apricot is a Japanese corporation providing cost-reduction services to its corporate customers. Senkou is a Japanese corporation focusing on subsidy application support. Since we only help users gather necessary information, the users desiring to apply for the subsidies must separately enter into a service agreement with our partners. We also state in our terms and conditions that we do not provide any warranty regarding Labor Robot, and we will not be liable for any damages arising from the use of Labor Robot. Despite the disclaimer, there is no assurance that a user will not sue us for any damages they experience arising from the use of Labor Robot. There is also no assurance that courts will not enter into judgments against us notwithstanding such disclaimer. In such event, our business operations, financial condition, and reputation may be materially and adversely affected. See “Item 3. Key Information—D. Risk Factors— Risks Related to Our Business and Industry —Our business could be adversely affected if our customers are not satisfied with the deployment services provided by us or our Certified Consultant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 Consultation with a Certified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chat box in our Labor Robot which allows users to engage in preliminary consultations regarding social insurance payments and labor issues. We have a support team that filters and answers simple inquiries and will refer to our partnered Certified Consultants those questions that require complex analysis. Similar to the grant and subsidy application support services, we are not responsible for any consultations, and users seeking further consultation and representation will be charged separately by the Certified Consultant. Despite the disclaimer we have in place, there is no assurance that no user will sue us for any damages they experience arising from the use of Labor Robot. There is also no assurance that courts will not enter into judgments against us. In such events, our business operations, financial condition, and reputation may be materially and adversely affected. See “Item 3. Key Information—D. Risk Factors— Risks Related to Our Business and Industry —Our business could be adversely affected if our customers are not satisfied with the deployment services provided by us or our Certified Consultant partners.”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 Employees’ attendance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function helps users track the number of hours each of their employees work daily by providing a web interface allowing users, usually comprised of our corporate customers’ human resource personnel, to input the employees’ information into the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 Payroll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function helps users produce pay slips and track the salary payment records of each employee by providing the web interface for users to key necessary information manually.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Sales order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function enables users to record and track sales orders. We provide the interface for users to input necessary information, and our system automatically generates invoice numbers. Users can extract the information of a particular order by searching their customers’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(7) Accounting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function helps users journalize accounting items and produce balance sheets, profit and loss statements, and cash flow statements. We offer various interfaces to assist users in keeping records on their general journals, cash registers, general ledgers, trial balances, balance sheets, profit and loss statements, and cash flow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may access this product in Japan at their offices or permitted locations to work remotely through a designated website. Generally, we sell Labor Robot as a one-time purchase software, inclusive of all the foregoing functions, at a price ranging from JPY3,000 thousand to JPY5,000 thousand (excluding tax). Labor Robot is cloud-based software, and to enable our users to access it, we host the software on the cloud storage provided by a third-party service provider. Nevertheless, the terms and conditions are subject to change. Additionally, we obtain less revenue from selling Labor Robot if it is sold through Nac, one of our distributors, than we would otherwise obtain were we to make such sales directly ourselves. See “—Our Marketing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the revenue from Labor Robot was JPY181,837 thousand (approximately $1,143 thousand), JPY137,397 thousand and JPY75,125 thousand, representing 29.7%, 20.3%, 10.8% of the total revenue of such fiscal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Robot Lawyer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officially launched Robot Lawyer (Robo Bengoshi) in December 2025. We developed Robot Lawyer in response to growing demand from everyday consumers for more accessible and cost-effective legal consultation and support. We believe that many individuals lack sufficient legal knowledge and financial resources required to engage traditional legal services. As a result, they face psychological and practical barriers that can discourage them from seeking legal help. Initial engagements may also fail to provide clear direction or actionable next steps. Finding a legal professional who is a good fit for each individual’s circumstance can be both time-consuming and resource intensive.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Robot Lawyer aiming to provide a preliminary legal consultation resource with which individuals and small business users may determine to seek legal services with, particularly with respect to defamation, employment disputes, divorce, traffic accidents, inheritance, and debt settlement. We have included a third-party generative AI chatbot, which we have trained to provide empathetic and appropriate responses to users for the foregoing purposes. See “—Research and Development” for more details. Following each consultation, users receive an AI-generated summary that can facilitate handoffs to professional lawyers when needed. In addition, the platform provides step-by-step actionable items for users to remove defamatory posts on certain online platforms themselves and an outline which organizes the facts and background of the consultation to be used as reference material when consulting with a lawyer.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developing a lawyer matching service within Robot Lawyer. We anticipate that this functionality will be a crucial value-add and is intended to help users identify legal professionals with expertise aligned to their specific needs while reducing repetitive steps that are often time-consuming and costly. Over time, we believe this functionality will further streamline access to legal services to the everyday individual while improving outcomes for users. See “—Research and Development”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March 31, 2026, the revenue from Robot Lawyer was JPY18,891 thousand (approximately $119 thousand), representing 3.1% of the total revenue of such fiscal year. While we earned such revenue when providing trial services during Robot Lawyer’s development, we are currently providing this service for free of charge. During this fiscal year ending March 31, 2027, we plan to offer Robot Lawyer for free, while we endeavor to grow the user base.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Billing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officially launched Billing Robot in June 2025. Billing Robot is a cloud-based B2B billing and payment solution (or BPSP) specifically designed for small businesses to improve their cash flow flexibility and operational efficiency. Billing Robot enables businesses to accept credit card payments for traditional bank-transfer invoices without requiring any changes to their existing billing workflows, helping to accelerate accounts receivable collection. The platform also allows for up to a 60-day payment deferral, depending on the customer’s credit card billing cycle, to help businesses better manage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bill payment service enabling users to enjoy payment deferral, upon customers’ selection, Billing Robot also provides add-on features, including accounting and invoice and purchase order issuance and management features. Customers wishing to use only BPSP service can register and use Billing Robot for free of charge. Customers who want to use any of the add-on features would be required to pay software licensing fee that ranges from JPY1 million to JPY3 million from each client.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 Robot operates on a usage-based pricing model, with a 2.3% transaction fee, which we believe is low compared to our business payment service competitors in Japan. The majority of each transaction fee goes to Infcurion, a Japanese business payment solution provider. On November 11, 2024, we entered into an agreement with Infcurion for the cooperative promotion and sale of Infcurion’s invoice payment service, “Winvoice” (the “Infcurion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Infcurion Agreement, we make referrals of potential corporate and individual business customers who may wish to utilize the Winvoice service to Infcurion. Infcurion enters into Winvoice service agreements directly with referred customers at its own expense and responsibility. We are prohibited from making representations that would bind Infcurion, engaging in conduct that could damage the credibility of Infcurion or the Winvoice service, or conveying false information to prospective customers. The Infcurion Agreement does not restrict Infcurion from marketing or selling the Winvoice service independently or through other third parties. Infcurion will provide us with brochures and other materials related to Winvoice (including the API allowing us to develop an interface to connect with Winvoice), and we have agreed to use such materials solely for the purpose of the Infcurion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Infcurion provides us with certain customer information, including business type, representative name, email address, and transaction and payment details, for purposes of customer acquisition, customer support, and cross-selling of our other products and services. We may not subcontract any of our obligations under the Infcurion Agreement without Infcurion’s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Infcurion Agreement is two years from the date of execution, which term will automatically renew for successive one-year periods unless either party provides written notice of non-renewal at least six months prior to the end of the then-current term. We may terminate the Infcurion Agreement early by providing Infcurion with at least six months’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immediately terminate the Infcurion Agreement without notice or demand upon the occurrence of certain events, including the other party’s insolvency, suspension of payments, seizure of assets, dissolution, or a material breach that remains uncured after a reasonable cure period. Upon termination or anticipated termination, we and Infcurion are required to consult with affected customers regarding the continuation of their Winvoice service agreements. Both parties are subject to mutual confidentiality obligations with respect to all technical, sales, and business information disclosed in connection with the agreement. These confidentiality obligations survive termination of the agreement for a period of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2.3% transaction fee we charge Billing Robot users makes Billing Robot an attractive solution for cost-conscious small and medium-sized businesses working towards business optimization through digitalization. The primary source of revenue generated by Billing Robot received by us is derived from (i) a one-time software licensing fee that ranges from JPY1 million to JPY3 million from each client who wishes to use add-on features of Billing Robot, and (ii) service fees received from Infurcion, which is approximately 0.5% of the value of each transaction, minus a distribution fee that ranges from 0.1% to 0.125%. As of March 31, 2026, the platform supported 605 small and medium-sized businesses in Japan, 226 of those are users who purchased add-on features of Billing Robot, and the other 379 of those are users who did not purchase the add-on features. Those who purchased our add-on features may also apply for the Digitalization &amp; AI Implementation Subsidy under the Invoice Framework. We also provide subsidy application support. See “—Our Marketing Channel”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the revenue from Billing Robot was JPY93,800 thousand (approximately $590 thousand), representing 15.3% of the Company’s total revenue for such fiscal year. The revenue we received from Infcurion Agreement was JPY1,889 thousand (approximately $12 thousand), representing less than 1% of the Company’s total revenue for the fiscal year ended March 31, 2026.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and Support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we provided the following types of consulting and support services to small and medium-sized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 Digitalization &amp; AI Implementation Subsidy Application Consulting and Support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2023, we provided Digitalization &amp; AI Implementation Subsidy application support for our corporate customer’s clients to reduce their actual costs when they purchased our customers’ products. To provide this line of services, we outsourced the services to Kizashi and Apricot. See also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usually charged our corporate customers the contingency fee, representing a fixed percentage of the total amount of the subsidies our corporate customers’ clients received, for this service. The fees were only paid if the customers’ clients received the subsidies, and revenue was recognized only if the application was approved. As a result, there was also a possibility that we might not be able to receive any fees for this service, even though we had performed the service. See “Risk Factors— Risks Related to Our Business and Industry —The unsuccessful application for the Digitalization &amp; AI Implementation Subsidy may significantly affect the profitability of our products and services, including Labor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ceased providing such services since the beginning of the fiscal year ended March 31, 2024, we resumed providing the services again during the fiscal year ended March 31, 2026. During the fiscal year ended March 31, 2026, revenue from Digitalization &amp; AI Implementation Subsidy application consulting and support services was JPY13,850 thousand ($87 thousand), accounted for 2.3% of the Company’s total revenue for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 E-learning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businesses embrace digital transformation, supported by the Japanese government, we expect an increased focus on investing in human resources for better integration of digital technologies into their operations. Hence, we launched our online e-learning courses in November 2023, aimed at helping employees of small and medium-sized businesses learn about the latest trends in digital transformation, including AI, the metaverse, and Web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offer 26 courses on the designated website operated by a third-party provider. Course instructors include our directors and our partners, who are experts in their fields. We also assist customers by providing certain information necessary for the customers or their Certified Consultants to apply for the Human Resource Development Support Grant (Jinzai Kaihatsu Shien Joseikin, the “HR Development Grant”). This grant, provided by MHLW, subsidizes training expenses for small and medium-sized businesses to encourage investment in their employees’ skills development. With this grant, the customers can enjoy the benefits our courses offer to develop their employees’ skills while lowering the cost of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targeted customers are small and medium-sized businesses seeking courses to educate their employees on digital transformation. We offer all 26 courses in a bundle and generally charge corporate customers approximately JPY409 thousand per student. Our standard e-learning terms and conditions provide that each student is eligible to attend courses for one month from the account origination date. In order to continue using the account after each one-month period, the customer needs to renew the terms and conditions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we agreed to subscribe to e-learning services offered by ShareWis, a Japanese online e-learning service provider, to offer an additional 200 online courses, covering business skills, design, software, programming, and web marketing courses, to enhance our corporate e-learning offerings. We chose ShareWis for its diverse content, its progress monitoring and content management system, and its competitive pricing. The monthly fee is JPY91,300, and includes basic operation, domain name, and content access. This fee structure grants up to 100 students access to 200 online courses provided by ShareWis. According to the agreement with ShareWis, we have agreed to resell these courses to our corporate customers by a subscription method pursuant to which only students can access the contents with IDs to be issued by ShareWis. The term of this agreement, which commenced on June 11, 2024, is for one year and is automatically renewable for successive one-year terms, unless either party provides a written notice to terminate one month before its expiration. The courses offered by ShareWis have been made available to our customers since November of 2024. In addition to the 26 courses offered by us, customers now have access to the additional 200 online courses offered by ShareWis, under the original fee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the revenue from these services was JPY271,208 thousand (approximately $1,705 thousand), JPY360,957 and JPY259,715 thousand, representing 44.3%, 53.4%, 37.47% of the total revenue of such fiscal years,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 E-commerce store set-up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launched the metaverse store set-up services, where we assist customers in building their e-commerce stores on ANZ, a metaverse run by Metaropolice Inc., a Japanese metaverse startup (“Metaropolice”). Since we believe that the metaverse will serve as an effective tool for local governments suffering from depopulation and economic decline to attract prospective tourists and resell their local products, we decided to work on ANZ because of its collaboration with a local government, i.e., Okinawa prefecture.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 included helping customers set up stores on ANZ, building e-commerce websites using Shopify, and providing support regarding the IT system installation subsidy application with METI. When metaverse users click on products or non-player staff in metaverse stores, e-commerce websites will pop up, showing product catalogs and leading the users to the payment process. The service fees for these e-commerce set-up services ranged from JPY4,000 thousand to JPY5,454.5 thousand per customer. According to the e-commerce website production services agreements, we provided a three-month warranty after the acceptance of our services, in the event of any non-conformity pursuant to the agreement. The intellectual property rights of the deliverables arising during the course of these services were transferred to a customer when the service fees have been paid, except for copyrights in works previously held by us or by a third party. We did not provide any warranty that the deliverables produced through these services did not infringe the rights of any third party. The term of such services agreements was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outsourced the metaverse store setup and maintenance on ANZ to Metaropolice. The outsourcing fee was JPY300 thousand (excluding tax) per customer, and the fee includes a store set-up and one-year store maintenance service. For the second year going forward, customers wishing to continue holding their e-commerce stores in ANZ are required to separately pay Metaropolice the maintenance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2024, the revenue from these services was JPY336,031 thousand, representing 48.48% of the total revenue of such fiscal year. While we have ceased providing e-commerce store set-up services since the fiscal year ending beginning April 1, 2024, in order to focus our efforts on the expansion of sales of our Labor Robot, e-learning services, and software installation services, a determination as to whether such services may resume in the future has yet to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 Software 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launched software installation services, where we help small and medium-sized businesses install third-party AI tools and provide them with introductory training session and manuals and one-year maintenance services. The third-party software we are offering to install with this service includes (i) Fliki, an AI tool which generates videos from blog posts, text, and slides, (ii) tl; dv (Too Long; Didn’t View), an AI meeting notetaker for Zoom, Google Meet, and Microsoft Team, and (iii) DocsBot AI, a service that lets users create and embed ChatGPT-powered chatbots that are trained with users’ content and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 includes (i) installing the AI tool for our customers, (ii) providing an AI tool manual and introductory training for the customers’ personnel, (iii) configuring the AI tool as instructed by the customers, and (iv) responding to questions from the customers after the introductory training session. We offer the services for Fliki and tl;dv as a bundled set, while marketing DocsBot AI as a standalone service. The services will be provided on weekdays from 10 a.m. to 6 p.m. Japan standard time. When purchasing, our customers are required to enter into two agreements—the installation and introductory training agreement and the maintenance agreement, to obtain all our services. According to these agreements, the service fees are approximately JPY2,900 thousand (excluding tax) per a set of our services for a period of one year, including the one-year AI tool licensing fee. While we agree to pay the one-year licensing fee on behalf of the customers, they are required to directly enter into the licensing agreements with the AI tool providers. The service fees do not include expenses resulting from the AI tool’s version updates, price increases by the third-party AI tool service providers, changes in foreign exchange rates, and other external factors. We agree with the customers that we will comply with the terms of services of the applicable AI tool when providing this service and therefore will not be liable for any damages incurred by the customers as a result of such compliance. We also disclaim liability for any damages incurred by the customers due to errors, malfunctions, or other defects resulting caused by AI tool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2025, and 2024, the revenue from these services was JPY30,233 thousand (approximately $190 thousand), JPY163,633, and JPY22,233 thousand, representing 4.9%, 24.2% and 3.2% of the total revenue of such fiscal year,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Marketing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targeted customers for software and consulting and support services are small and medium-sized businesses in Japan. We promote Labor Robot, Billing Robot, and consulting and support services eligible for the Digitalization &amp; AI Implementation Subsidy to such businesses mainly by supporting the customers’ applications for the subsidy. The subsidy usually subsidizes costs for software licenses, cloud service fees of no more than two years, and costs relating to installation. METI is the governmental authority responsible for this subsidy. If awarded, the subsidy usually covers two-thirds of the contract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customer decides to purchase Labor Robot, add-on features of Billing Robot, or consulting and support services eligible for the Digitalization &amp; AI Implementation Subsidy, we collaborate with Kizashi, Apricot, or Senkou, who will prepare documents and apply for the subsidy on behalf of our client. Starting from the fiscal year ended March 31, 2026, we also started handling the Digitalization &amp; AI Implementation Subsidy in-house. During the fiscal year ended March 31, 2026, we outsourced 69.9% of total applications for the Digitalization &amp; AI Implementation Subsidy to third 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e-learning services, we also assist customers to apply for the HR Development Grant by providing information necessary for the application to our customers or their Certified Consultants. We also recommend Certified Consultants to our customers to support them with the grant application. If awarded, the grant will cover 75% of the e-learning cost, in case of the small and medium-sized businesses. The grant is generally awarded in full amount by MHLW if the customers meet the requirement. See also “—Our Business Model—Sales of Software—Labor Robot—(1) Grant and subsidy application support.”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policy to send invoices to our customers only when their Digitalization &amp; AI Implementation Subsidy applications or HR Development Grants are approved, because clients will not be liable for fees when the applications are not approved or when the amount of an awarded subsidy is less than the initial estimate. If the subsidy applications are unsuccessful, the clients have an option to determine whether they will terminate or continue the purchase. As a result, if we or our partners are unable to maintain the successful application rate, our revenues and operating results may be significantly impacted. See “Item 3. Key Information—D. Risk Factors—Risks Related to Our Business and Industry —The unsuccessful application for the Digitalization &amp; AI Implementation Subsidy may significantly affect the profitability of our products and services, including Labor Robot.” Additionally, any policy change resulting in the termination or a significant reduction of the awarded amount of the Digitalization &amp; AI Implementation Subsidy may cause Labor Robot not to be as attractive to customers because of its pricing, and the Company’s business operations and results of operations may be affected. See “Item 3. Key Information—D. Risk Factors— Risks Related to Our Business and Industry —Changes in policies regarding grant and subsidy by the Japanese government and the use of Certified Consultants may significantly affect the profitability of our products, including Labor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subsidy application support, we also promote Labor Robot and other services through our contracted distributors. Currently, we have worked with 294 individual and entity distributors who help us promote Labor Robot and other services to small and medium-sized businesses. We select distribution agents based on their expertise and ability to secure sales channels with small and medium-sized companies in certain industries. We tend to hire agents who commit to organizing seminars to approach small and medium-sized companies in their respective geographical regions. We generally grant non-exclusive distribution rights and usually agree to pay the distributors approximately 66.7% to 75% of the price of each product a customer purchase through such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largest distributor who contributed to the increasing number of Labor Robot users during the fiscal year ended March 31, 2024 was Nac. Currently, we have two agreements with Nac—the Agency Agreement dated as of November 30, 2022 and the Consortium Agreement dated as of November 30, 2022. Under the Agency Agreement, Nac agrees to act as our primary distributor, and we agree to provide support to Nac’s customers in applying for IT system installation subsidies with METI. In practice, Nac directly enters into the Labor Robot licensing or sales agreement with its customers, and by the end of each month, we receive 7% of the total sales price (including tax) of Labor Robot that Nac sold to its customers in the prior month, which we recognize as revenue from the sales of Labor Robot. The Consortium Agreement was a form agreement required by the Service Design Engineering Council, an association commissioned by METI to manage and operate the application and approval of Digitalization &amp; AI Implementation Subsidy. This agreement was executed to allow us to facilitate Nac’s customers in applying and obtaining Digitalization &amp; AI Implementation Subsidy, where we act as a manager and Nac acts as a member.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enabled us to increase the exposure of our Labor Robot to our target customers through Nac’s pipeline during the fiscal years ended March 31, 2024 and 2023. We obtained nil, nil and 98 new Labor Robot users through this arrangement during the fiscal years ended March 31, 2026, 2025 and 2024, respectively. The total accumulated number of Labor Robot users derived from Nac was 307, 307 and 307 for the fiscal years ended March 31, 2026, 2025 and 2024, respectively. However, we receive only 7% of the original Labor Robot’s price, as opposed to the full price we usually obtain from users directly purchasing Labor Robot from us. Consequently, while we sell Labor Robot at a price ranging from JPY3,000 thousand to JPY5,000 thousand (excluding tax), we will be paid only 7% of the product price when Nac acts as our distributor. The percentage of the revenue derived from Nac’s customers was 0.0%, 0.0% and 1.5% of the total revenue for the fiscal years ended March 31, 2026, 2025 and 2024, respectively. While we do not expect to obtain many additional customers from Nac, we believe that Nac has referred us to the majority of its existing customers, and we plan to maintain a good relationship with Nac going forward.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outsourced the development of Labor Robot and the database for Robot Lawyer to Brand Cloud Inc (“Brand Cloud”), a Japanese company specializing in reputational risk management, web marketing and branding, and development outsourcing. Though Brand Cloud retains the intellectual property rights, including copyrights and patent rights, arising in the course of Brand Cloud’s performance of the entrusted duty (i.e., the development of Labor Robot and database of Lawyer Robot, and the design of Labor Robot’s user manual), it agreed to grant us the right to use such intellectual properties to the extent necessary for our business. See “—Our Suppliers” and “Item 3. Key Information—D. Risk Factors— Risks Related to Our Business and Industry — We are still heavily relying on third-party software development vendors to build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functionality of the Chatbot in Robot Lawyer, we did fine-tuning its functions for large language models (LLMs) to adjust general-purpose models to perform a specific task. This research is crucial, as it will help us fine-tune third-party generative AI to enable our Robot Lawyer to respond to legal questions asked by users instantly. This research was led by Mr. Amit Thakur, our director and CEO, and Mr. Tomoya Suzuki, our Chief Technology Officer. The non-AI algorithm and software developed in-house as a result of this project has already been incorporated into Robot Lawyer.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planning to recruit additional members to our research and development team to increase our research and development capacity. During the fiscal year ended March 31, 2026, we hired a full-stack engineer as our full-time employee in our research and development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a master business consignment agreement with Argyle Inc., which provided us with chatbot API for Robot Lawyer to connect our Robot Lawyer system with ChatGPT. Under such agreement, Argyle Inc. designed, created, and debugged the application designated to link our system with ChatGPT API for the compensation of JPY3,300 thousand (excluding tax, approximately $22 thousand) during April 1, 2023 to March 31, 2024. We have obtained the deliverable as planned. Under this agreement, the right to register any invention, idea, design, or other business or technical know-how arising in the course of the commissioned work (“Work Product”) for any patent right, utility model right, design right, or any other rights shall belong to the person who creates such Work Product. Except for the copyrights of works and programs that can be used for general purposes, which have been owned by us or any third party, the copyright of the deliverables under this agreement shall be transferred to us after Argyle Inc obtains the entire commission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2023, we entered into a legal advisory agreement with a partner of one of Japan’s leading law firms to request legal advice relating to the Robot Lawyer and are currently requesting the partner of such firm to prepare the training data necessary for fine-tuning of Robot Lawyer. Under this agreement, the partner serves in his own capacity, and not on behalf of the law firm. We have agreed to pay an hourly fee of JPY48 thousand (with a 10% discount) as requested by the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several factors when selecting a third party to support our research and development, including its capability and reputation in a particular field, cost, our budget, and development priorities. We also consider outsourcing our development offshore to control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Robot Lawyer marked an official entry into the legal technology market. Since the conception of Robot Lawyer, we have been monitoring the pitfalls of AI technology when incorporated into legal technology products. We also oversee trends of AI regulation in Japan, our main market, and the United States, the main market of CJK Group’s Junior Lawyer X. We have taken these issues into consideration since the product conception stage. As of the date of this annual report, Robot Lawyer AI technology and we expect to incorporate more AI technologies in our products and services in the future. We believe that AI technology is a crucial element of legal technology going forward, and we intend to employ more AI technologies, both developed in-house and by third parties, in our products and services. There are significant risks involved in utilizing AI technology, both in terms of technology and regulations, and no assurance can be provided that our use of such AI will enhance our products or services or produce the intended results. Therefore, these uncertainties may adversely affect our business, financial condition, and reputation and/or subject us to legal liability. See “Item 3. Key Information—D. Risk Factors—Risks Related to Our Business and Industry—We plan to incorporate AI technologies into some of our products and services, which may present operational and reputational risks,” “Item 3. Key Information—D. Risk Factors—Risks Related to Our Business and Industry— Our ability to successfully integrate AI technologies in our future product may be dependent on our access to specific third-party software and infrastructure and our business may be adversely impacted if we are unable to access such third-party software and infrastructure,” and “Item 3. Key Information—D. Risk Factors—Risk Related to Our Business and Industry—Some aspects of our future products and services may incorporate open-source AI technology, and our future use of open-source AI technology could negatively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two major customers accounting for more than 10% of our revenue during the fiscal year ended March 31, 2025. We did not have a major customer accounting for more than 10% of our revenue during the fiscal years ended March 31, 2026 and 2024. The reliance on a few major customers may make us vulnerable to the risk of financial impact if we are unable to secure new revenue-generating customer contracts. See “Item 3. Key Information—D. Risk Factors— Risks Related to Our Business and Industry —A significant portion of our total revenue was derived from a few major customers. A high concentration of our revenue from a few major customers means that loss of business from any of them may have a significant negative impact on our business and financial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major customers accounting for more than 10% of our revenue, its revenue percentage, the services we provided, and the relevant major agreement terms for the fiscal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7"/>
        <w:gridCol w:w="60"/>
        <w:gridCol w:w="1526"/>
        <w:gridCol w:w="60"/>
        <w:gridCol w:w="978"/>
        <w:gridCol w:w="60"/>
        <w:gridCol w:w="237"/>
        <w:gridCol w:w="6417"/>
      </w:tblGrid>
      <w:tr>
        <w:trPr/>
        <w:tc>
          <w:tcPr>
            <w:tcW w:w="86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the total revenue for the fiscal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agreement terms</w:t>
            </w:r>
          </w:p>
        </w:tc>
      </w:tr>
      <w:tr>
        <w:trPr/>
        <w:tc>
          <w:tcPr>
            <w:tcW w:w="8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Enechita Co.,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E-learning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4"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E-learning licensing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granted Enechita Co. Ltd., a license to use our e-learning program for a period of one month, starting from the date the account is issued to Enechita Co., Ltd., and in consideration, Enechita Co. Ltd. agreed to pay fees for using the e-learning program, based on the amount to be invoiced by us.</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4"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Use: One month from the date the account is issued to Enechita Co., Ltd.</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Based on the invoices issued by us.</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provisions: terminable by us, (i) if Enechita Co. Ltd. breaches any clause of the agreement and fails to rectify the breach within 10 days of receiving a formal notice, or (ii) if any of certain listed events occur, such as a major breach of the agreement or an act of bad faith by Enechita Co. Ltd., if Enechita Co. Ltd. cannot fulfill its contractual obligations, if Enechita Co. Ltd. becomes subject to penalties by regulatory authorities, among others.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 Co.,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E-learning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4"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E-learning licensing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granted Bran Co., Ltd. a license to use our e-learning program for a period of one month, starting from the date the account is issued to Bran Co., Ltd., and in consideration, Bran Co. Ltd. agreed to pay fees for using the e-learning program.</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4"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Use: One month from the date the account is issued to Bran Co., Ltd.</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Based on the invoices issued by us.</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4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provisions: terminable by us, (i) if Bran Co. Ltd. breaches any clause of the agreement and fails to rectify the breach within 10 days of receiving a formal notice, or (ii) if any of certain listed events occur, such as a major breach of the agreement or an act of bad faith by Bran Co. Ltd., if Bran Co. Ltd. cannot fulfill its contractual obligations, if Bran Co. Ltd. becomes subject to penalties by regulatory authorities, among others.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one major supplier accounting for more than 10% of our supply costs during the fiscal year ended March 31, 2026. We did not have any major suppliers accounting for more than 10% of our supply costs during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major suppliers accounting for more than 10% of our supply costs, their respective supply cost percentages, the services we provided, and the relevant major agreement terms for the fiscal year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87"/>
        <w:gridCol w:w="60"/>
        <w:gridCol w:w="1691"/>
        <w:gridCol w:w="60"/>
        <w:gridCol w:w="895"/>
        <w:gridCol w:w="60"/>
        <w:gridCol w:w="5452"/>
      </w:tblGrid>
      <w:tr>
        <w:trPr/>
        <w:tc>
          <w:tcPr>
            <w:tcW w:w="198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9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the total supply cost for the fiscal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agreement terms</w:t>
            </w:r>
          </w:p>
        </w:tc>
      </w:tr>
      <w:tr>
        <w:trPr/>
        <w:tc>
          <w:tcPr>
            <w:tcW w:w="19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FUNKEN VISION ADVERTISING (HK) LIMITED (“Funken”)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2" w:type="dxa"/>
            <w:tcBorders/>
            <w:shd w:fill="FFFFFF" w:val="clear"/>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Management Service Agreement: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Funken as an independent contractor to provide brand management and business development services, including participating in business and management meetings, introducing customers or strategic partners to drive growth, and providing other mutually agreed business consultancy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60"/>
        <w:gridCol w:w="60"/>
        <w:gridCol w:w="60"/>
        <w:gridCol w:w="134"/>
        <w:gridCol w:w="963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636" w:type="dxa"/>
            <w:tcBorders/>
            <w:vAlign w:val="center"/>
          </w:tcPr>
          <w:p>
            <w:pPr>
              <w:pStyle w:val="TableContents"/>
              <w:bidi w:val="0"/>
              <w:spacing w:before="0" w:after="283"/>
              <w:jc w:val="both"/>
              <w:rPr>
                <w:sz w:val="20"/>
              </w:rPr>
            </w:pPr>
            <w:r>
              <w:rPr>
                <w:sz w:val="20"/>
              </w:rPr>
              <w:t>Term*: 12 months from the effective date (May 12, 2025).</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636" w:type="dxa"/>
            <w:tcBorders/>
            <w:vAlign w:val="center"/>
          </w:tcPr>
          <w:p>
            <w:pPr>
              <w:pStyle w:val="TableContents"/>
              <w:bidi w:val="0"/>
              <w:spacing w:before="0" w:after="283"/>
              <w:jc w:val="both"/>
              <w:rPr>
                <w:sz w:val="20"/>
              </w:rPr>
            </w:pPr>
            <w:r>
              <w:rPr>
                <w:sz w:val="20"/>
              </w:rPr>
              <w:t>Fees: US$2,150,000, payable within 7 days from the date of the agreement.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3.</w:t>
            </w:r>
          </w:p>
        </w:tc>
        <w:tc>
          <w:tcPr>
            <w:tcW w:w="9636" w:type="dxa"/>
            <w:tcBorders/>
            <w:vAlign w:val="center"/>
          </w:tcPr>
          <w:p>
            <w:pPr>
              <w:pStyle w:val="TableContents"/>
              <w:bidi w:val="0"/>
              <w:spacing w:before="0" w:after="283"/>
              <w:jc w:val="both"/>
              <w:rPr>
                <w:sz w:val="20"/>
              </w:rPr>
            </w:pPr>
            <w:r>
              <w:rPr>
                <w:sz w:val="20"/>
              </w:rPr>
              <w:t>Termination: The agreement may be terminated upon mutual agreement of the parties.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6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sz w:val="20"/>
              </w:rPr>
            </w:pPr>
            <w:r>
              <w:rPr>
                <w:sz w:val="20"/>
              </w:rPr>
              <w:t>Facilitator Agreement: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sz w:val="20"/>
              </w:rPr>
            </w:pPr>
            <w:r>
              <w:rPr>
                <w:sz w:val="20"/>
              </w:rPr>
              <w:t>We appointed Funken as its facilitator to assist in identifying, contacting, and negotiating with potential targets or counterparties in connection with contemplated acquisitions or strategic transactions.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6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636" w:type="dxa"/>
            <w:tcBorders/>
            <w:vAlign w:val="center"/>
          </w:tcPr>
          <w:p>
            <w:pPr>
              <w:pStyle w:val="TableContents"/>
              <w:bidi w:val="0"/>
              <w:spacing w:before="0" w:after="283"/>
              <w:jc w:val="both"/>
              <w:rPr>
                <w:sz w:val="20"/>
              </w:rPr>
            </w:pPr>
            <w:r>
              <w:rPr>
                <w:sz w:val="20"/>
              </w:rPr>
              <w:t>Term*: 12 months from the date of the agreement (May 18, 2025), extendable by mutual written agreement. During the term, we are entitled to receive services for an unlimited number of transactions.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636" w:type="dxa"/>
            <w:tcBorders/>
            <w:vAlign w:val="center"/>
          </w:tcPr>
          <w:p>
            <w:pPr>
              <w:pStyle w:val="TableContents"/>
              <w:bidi w:val="0"/>
              <w:spacing w:before="0" w:after="283"/>
              <w:jc w:val="both"/>
              <w:rPr>
                <w:sz w:val="20"/>
              </w:rPr>
            </w:pPr>
            <w:r>
              <w:rPr>
                <w:sz w:val="20"/>
              </w:rPr>
              <w:t>Fees: US$1,500,000, payable within 5 days from the date of the agreement.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6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sz w:val="20"/>
              </w:rPr>
            </w:pPr>
            <w:r>
              <w:rPr>
                <w:sz w:val="20"/>
              </w:rPr>
              <w:t>Precision Marketing Services Agreement: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0" w:type="dxa"/>
            <w:gridSpan w:val="3"/>
            <w:tcBorders/>
            <w:vAlign w:val="center"/>
          </w:tcPr>
          <w:p>
            <w:pPr>
              <w:pStyle w:val="TableContents"/>
              <w:bidi w:val="0"/>
              <w:spacing w:before="0" w:after="283"/>
              <w:jc w:val="both"/>
              <w:rPr>
                <w:sz w:val="20"/>
              </w:rPr>
            </w:pPr>
            <w:r>
              <w:rPr>
                <w:sz w:val="20"/>
              </w:rPr>
              <w:t>We engaged Funken to place and manage targeted advertising for our products across digital platforms (Google AdWords, Facebook, and TikTok), and to assist in building a related website.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6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636" w:type="dxa"/>
            <w:tcBorders/>
            <w:vAlign w:val="center"/>
          </w:tcPr>
          <w:p>
            <w:pPr>
              <w:pStyle w:val="TableContents"/>
              <w:bidi w:val="0"/>
              <w:spacing w:before="0" w:after="283"/>
              <w:jc w:val="both"/>
              <w:rPr>
                <w:sz w:val="20"/>
              </w:rPr>
            </w:pPr>
            <w:r>
              <w:rPr>
                <w:sz w:val="20"/>
              </w:rPr>
              <w:t>Term*: July 21, 2025 to December 20, 2025.</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636" w:type="dxa"/>
            <w:tcBorders/>
            <w:vAlign w:val="center"/>
          </w:tcPr>
          <w:p>
            <w:pPr>
              <w:pStyle w:val="TableContents"/>
              <w:bidi w:val="0"/>
              <w:spacing w:before="0" w:after="283"/>
              <w:jc w:val="both"/>
              <w:rPr>
                <w:sz w:val="20"/>
              </w:rPr>
            </w:pPr>
            <w:r>
              <w:rPr>
                <w:sz w:val="20"/>
              </w:rPr>
              <w:t>Fees: Total contract amount of US$450,000, settled on a CPI basis (cost per installation) according to Google/Facebook backend download statistics. Payment is due within 5 business days after we confirm the settlement amount prior to each placement. If payment is not made on time, Funken may suspend all of our placement accounts after 7 days past the settlement period.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3.</w:t>
            </w:r>
          </w:p>
        </w:tc>
        <w:tc>
          <w:tcPr>
            <w:tcW w:w="9636" w:type="dxa"/>
            <w:tcBorders/>
            <w:vAlign w:val="center"/>
          </w:tcPr>
          <w:p>
            <w:pPr>
              <w:pStyle w:val="TableContents"/>
              <w:bidi w:val="0"/>
              <w:spacing w:before="0" w:after="283"/>
              <w:jc w:val="both"/>
              <w:rPr>
                <w:sz w:val="20"/>
              </w:rPr>
            </w:pPr>
            <w:r>
              <w:rPr>
                <w:sz w:val="20"/>
              </w:rPr>
              <w:t>Termination provisions: Either party may terminate if the other party breaches the agreement and fails to stop the breach and compensate for all losses within 10 business days of receiving written notice; the non-breaching party may unilaterally terminate the agreement on the day the written notice is received by the breaching party. Additionally, if we are more than 15 business days late in payment, Funken may terminate and require payment of outstanding fees plus a penalty of 5% of the unpaid amount.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such agreement has expired without renewal and is no longer in force or effect as of the date of this annual report.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mainly seek to protect our intellectual property rights by relying on Japanese intellectual property laws and contractual measures. Our practice is to have confidentiality or non-disclosure provisions with our employees to limit access to our confidential information and proprietary technology. We rely on a combination of trademarks, service marks, patents, domain name registrations, copyright protection, and contractual restrictions to establish and protect our brand name and logos, technologies, marketing designs, and internet domain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registered three patents, three trademarks, and five domain names in Japan. We have one pending intellectual property application for a patent. The chart below presents information about intellectual property that we have registered or applied for.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3555"/>
        <w:gridCol w:w="60"/>
        <w:gridCol w:w="1475"/>
        <w:gridCol w:w="60"/>
        <w:gridCol w:w="1541"/>
        <w:gridCol w:w="60"/>
        <w:gridCol w:w="1472"/>
        <w:gridCol w:w="60"/>
        <w:gridCol w:w="1317"/>
      </w:tblGrid>
      <w:tr>
        <w:trPr/>
        <w:tc>
          <w:tcPr>
            <w:tcW w:w="5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 authority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r>
      <w:tr>
        <w:trPr/>
        <w:tc>
          <w:tcPr>
            <w:tcW w:w="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processing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program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(Metaverse-related business)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22,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in progress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processing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program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(Metaverse-related business)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 2042</w:t>
            </w:r>
          </w:p>
        </w:tc>
      </w:tr>
      <w:tr>
        <w:trPr/>
        <w:tc>
          <w:tcPr>
            <w:tcW w:w="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processing equipment and program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function in Labor Robot)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10,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10, 2042</w:t>
            </w:r>
          </w:p>
        </w:tc>
      </w:tr>
      <w:tr>
        <w:trPr/>
        <w:tc>
          <w:tcPr>
            <w:tcW w:w="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processing equipment and program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function in Lawyer Robot)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6,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6, 2041</w:t>
            </w:r>
          </w:p>
        </w:tc>
      </w:tr>
    </w:tbl>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905"/>
        <w:gridCol w:w="60"/>
        <w:gridCol w:w="2585"/>
        <w:gridCol w:w="60"/>
        <w:gridCol w:w="1580"/>
        <w:gridCol w:w="60"/>
        <w:gridCol w:w="1640"/>
        <w:gridCol w:w="60"/>
        <w:gridCol w:w="890"/>
        <w:gridCol w:w="60"/>
        <w:gridCol w:w="1610"/>
      </w:tblGrid>
      <w:tr>
        <w:trPr/>
        <w:tc>
          <w:tcPr>
            <w:tcW w:w="9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 authority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r>
      <w:tr>
        <w:trPr/>
        <w:tc>
          <w:tcPr>
            <w:tcW w:w="9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労務ロボ”</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(Labor Robot in Japanese)</w:t>
            </w:r>
            <w:r>
              <w:rPr>
                <w:rFonts w:eastAsia="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17,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4, 2032</w:t>
            </w:r>
          </w:p>
        </w:tc>
      </w:tr>
      <w:tr>
        <w:trPr/>
        <w:tc>
          <w:tcPr>
            <w:tcW w:w="9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弁護ロボ”</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(Lawyer Robot in Japanese)</w:t>
            </w:r>
            <w:r>
              <w:rPr>
                <w:rFonts w:eastAsia="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17,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4, 2032</w:t>
            </w:r>
          </w:p>
        </w:tc>
      </w:tr>
      <w:tr>
        <w:trPr/>
        <w:tc>
          <w:tcPr>
            <w:tcW w:w="9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ロボットコンサルティング”</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in Japanese)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17,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4, 2032</w:t>
            </w:r>
          </w:p>
        </w:tc>
      </w:tr>
      <w:tr>
        <w:trPr/>
        <w:tc>
          <w:tcPr>
            <w:tcW w:w="9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請求ロボ”</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(Seikyu Robot in Japanese)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Patent Office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12, 2034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human resource and financial management platforms, business-to-business e-learning, and other digital transformation-related consulting services for small and medium-sized businesses in Japan are highly competitive, with relatively low barriers to entry. Our primary competitors in the Japanese market for Labor Robot Labor Robot faces competition in Japan’s cloud-based accounting and human resource software industry. Japan’s cloud-based accounting and human resource software industry is competitive. We compete primarily with local software providers, such as Yayoi and “freee,” as well as large national and overseas cloud-based accounting platform service providers have also started to enter into the Japanese market, such as QuickBooks. For other services, our competitors include WriteUp Co., Ltd., a company listed on the Tokyo Stock Exchange, which similarly offers products and services, including AI-related e-learning courses and grant and subsidy application support for small and medium-sized businesses.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Robot Lawyer, our most direct domestic competitor is Bengo4.com, Inc. (TYO:6027), which offers a consumer-oriented AI legal consultation chat service leveraging over 1.25 million consultation records accumulated on its “Minna no Houso Soudan” platform. In addition, the legal office portal “Bennaví” provides an AI chatbot as a consultation channel, and general-purpose AI applications such as ChatGPT serve as de facto competitors, as consumers may use them to seek initial legal guidance at no cost. In adjacent domestic markets, companies such as CloudLegal, Inc. (automated contract generation and online legal consultation), LegalOn Technologies, Inc. ( provider of contract review AI), and GVA TECH, Inc. (which offers “OLGA,” a unified corporate legal process platform) have established significant market positions. Although these competitors currently focus primarily on corporate legal affairs and attorney workflow efficiency, rather than consumer-oriented legal consultation, they may expand into our target market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Billing Robot, our most direct domestic competitor is Shiharai.com, a service jointly provided by UPSIDER Inc. and Credit Saison Co., Ltd., which entities offer a BPSP payment extension service. In addition, Invoice Card Payment by GMO, provided by GMO Payment Gateway, Inc., offers business-to-business invoice card payment services. In adjacent domestic markets, invoice management platform providers such as Misoca, Money Forward Cloud Invoice, and freee Invoice offer comprehensive accounting, tax filing, and Electronic Bookkeeping Act compliance features and are registered as IT subsidy-eligible tools. Jobkan Quotation/Invoice, operated by Donuts Co., Ltd., similarly provides cloud-based document creation and management with IT subsidy eligibility. Although these invoice management competitors currently do not offer BPSP card payment extension or early revenue collection functionality, they may expand into our target market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boutique cloud-based accounting and human resource software provider, AI legal consultation chat service provider, and digital transformation-related consulting service provider, we compete for, among other things, customers, the types of products and services offered, brand recognition, price, design and quality, financing, and skilled engineers. Increased competition may hinder our market share expansion or lead to pricing pressures on our services, adversely impacting our margins and revenues. Our competitors may independently develop products or services that are superior or substantially similar to our products and, because they are or may be significantly larger, have a more extensive operating history and/or have more significant resources or lower cost of capital than us, may be able to compete more effectively in one or more of the markets in which we operate or may operate in the future. See “Risk Factors— Risks Related to Our Business and Industry —The markets in which we participate are intensely competitive, and if we do not compete effectively, our operating results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through our products integrating the human resource support service by Certified Consultant partners and our strategic pricing and support in subsidy application, we will be able to react more quickly than these competitors to market opportunities and market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government-mandated social and health insurance and worker’s accident compensation insurance, we maintain directors and officers insurance. We do not maintain any other property insurance, business insurance, or employee liability insurance. For risks in connection with not maintaining adequate insurance coverage, please see “Item 3. Key Information—D. Risk Factors —Risks Related to Our Business and Industry —Our current insurance policies may not provide adequate levels of coverage against all claims and we may incur losses that are not covered by our insurance.”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19, 18, and 12 full-time employees as of March 31, 2026, 2025, and 2024, respectively. All of our employees are located in Japan. The following table sets forth the number of our full-time employees categorized by department as of March 31, 2026:</w:t>
      </w:r>
    </w:p>
    <w:p>
      <w:pPr>
        <w:pStyle w:val="TextBody"/>
        <w:bidi w:val="0"/>
        <w:spacing w:before="0" w:after="0"/>
        <w:ind w:left="0" w:right="0" w:hanging="0"/>
        <w:jc w:val="both"/>
        <w:rPr>
          <w:caps w:val="false"/>
          <w:smallCaps w:val="false"/>
        </w:rPr>
      </w:pPr>
      <w:r>
        <w:rPr>
          <w:caps w:val="false"/>
          <w:smallCaps w:val="false"/>
        </w:rPr>
        <w:t> </w:t>
      </w:r>
    </w:p>
    <w:tbl>
      <w:tblPr>
        <w:tblW w:w="6564" w:type="dxa"/>
        <w:jc w:val="left"/>
        <w:tblInd w:w="0" w:type="dxa"/>
        <w:tblLayout w:type="fixed"/>
        <w:tblCellMar>
          <w:top w:w="0" w:type="dxa"/>
          <w:left w:w="0" w:type="dxa"/>
          <w:bottom w:w="28" w:type="dxa"/>
          <w:right w:w="0" w:type="dxa"/>
        </w:tblCellMar>
      </w:tblPr>
      <w:tblGrid>
        <w:gridCol w:w="4055"/>
        <w:gridCol w:w="60"/>
        <w:gridCol w:w="445"/>
        <w:gridCol w:w="1929"/>
        <w:gridCol w:w="75"/>
      </w:tblGrid>
      <w:tr>
        <w:trPr/>
        <w:tc>
          <w:tcPr>
            <w:tcW w:w="4055" w:type="dxa"/>
            <w:tcBorders>
              <w:bottom w:val="single" w:sz="8" w:space="0" w:color="000000"/>
            </w:tcBorders>
            <w:vAlign w:val="center"/>
          </w:tcPr>
          <w:p>
            <w:pPr>
              <w:pStyle w:val="TableContents"/>
              <w:bidi w:val="0"/>
              <w:spacing w:before="0" w:after="283"/>
              <w:jc w:val="center"/>
              <w:rPr>
                <w:b/>
              </w:rPr>
            </w:pPr>
            <w:r>
              <w:rPr>
                <w:b/>
              </w:rPr>
              <w:t>Department</w:t>
            </w:r>
          </w:p>
        </w:tc>
        <w:tc>
          <w:tcPr>
            <w:tcW w:w="60" w:type="dxa"/>
            <w:tcBorders/>
            <w:tcMar>
              <w:bottom w:w="0" w:type="dxa"/>
            </w:tcMar>
            <w:vAlign w:val="center"/>
          </w:tcPr>
          <w:p>
            <w:pPr>
              <w:pStyle w:val="TableContents"/>
              <w:bidi w:val="0"/>
              <w:spacing w:before="0" w:after="283"/>
              <w:jc w:val="left"/>
              <w:rPr/>
            </w:pPr>
            <w:r>
              <w:rPr/>
              <w:t> </w:t>
            </w:r>
          </w:p>
        </w:tc>
        <w:tc>
          <w:tcPr>
            <w:tcW w:w="2374" w:type="dxa"/>
            <w:gridSpan w:val="2"/>
            <w:tcBorders>
              <w:bottom w:val="single" w:sz="8" w:space="0" w:color="000000"/>
            </w:tcBorders>
            <w:vAlign w:val="center"/>
          </w:tcPr>
          <w:p>
            <w:pPr>
              <w:pStyle w:val="TableContents"/>
              <w:bidi w:val="0"/>
              <w:spacing w:before="0" w:after="283"/>
              <w:jc w:val="center"/>
              <w:rPr>
                <w:b/>
              </w:rPr>
            </w:pPr>
            <w:r>
              <w:rPr>
                <w:b/>
              </w:rPr>
              <w:t>Numbers of Employees</w:t>
            </w:r>
          </w:p>
        </w:tc>
        <w:tc>
          <w:tcPr>
            <w:tcW w:w="75" w:type="dxa"/>
            <w:tcBorders/>
            <w:tcMar>
              <w:bottom w:w="0" w:type="dxa"/>
            </w:tcMar>
            <w:vAlign w:val="center"/>
          </w:tcPr>
          <w:p>
            <w:pPr>
              <w:pStyle w:val="TableContents"/>
              <w:bidi w:val="0"/>
              <w:spacing w:before="0" w:after="283"/>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pPr>
            <w:r>
              <w:rPr/>
              <w:t>Corporate Division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5" w:type="dxa"/>
            <w:tcBorders/>
            <w:shd w:fill="CCEEFF" w:val="clear"/>
            <w:tcMar>
              <w:bottom w:w="0" w:type="dxa"/>
            </w:tcMar>
            <w:vAlign w:val="center"/>
          </w:tcPr>
          <w:p>
            <w:pPr>
              <w:pStyle w:val="TableContents"/>
              <w:bidi w:val="0"/>
              <w:spacing w:before="0" w:after="283"/>
              <w:jc w:val="center"/>
              <w:rPr/>
            </w:pPr>
            <w:r>
              <w:rPr/>
              <w:t> </w:t>
            </w:r>
          </w:p>
        </w:tc>
        <w:tc>
          <w:tcPr>
            <w:tcW w:w="1929" w:type="dxa"/>
            <w:tcBorders/>
            <w:shd w:fill="CCEEFF" w:val="clear"/>
            <w:tcMar>
              <w:bottom w:w="0" w:type="dxa"/>
            </w:tcMar>
            <w:vAlign w:val="center"/>
          </w:tcPr>
          <w:p>
            <w:pPr>
              <w:pStyle w:val="TableContents"/>
              <w:bidi w:val="0"/>
              <w:spacing w:before="0" w:after="283"/>
              <w:jc w:val="center"/>
              <w:rPr/>
            </w:pPr>
            <w:r>
              <w:rPr/>
              <w:t>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55" w:type="dxa"/>
            <w:tcBorders/>
            <w:shd w:fill="FFFFFF" w:val="clear"/>
            <w:tcMar>
              <w:bottom w:w="0" w:type="dxa"/>
            </w:tcMar>
            <w:vAlign w:val="center"/>
          </w:tcPr>
          <w:p>
            <w:pPr>
              <w:pStyle w:val="TableContents"/>
              <w:bidi w:val="0"/>
              <w:spacing w:before="0" w:after="283"/>
              <w:jc w:val="left"/>
              <w:rPr/>
            </w:pPr>
            <w:r>
              <w:rPr/>
              <w:t>Sales Division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5" w:type="dxa"/>
            <w:tcBorders/>
            <w:shd w:fill="FFFFFF" w:val="clear"/>
            <w:tcMar>
              <w:bottom w:w="0" w:type="dxa"/>
            </w:tcMar>
            <w:vAlign w:val="center"/>
          </w:tcPr>
          <w:p>
            <w:pPr>
              <w:pStyle w:val="TableContents"/>
              <w:bidi w:val="0"/>
              <w:spacing w:before="0" w:after="283"/>
              <w:jc w:val="center"/>
              <w:rPr/>
            </w:pPr>
            <w:r>
              <w:rPr/>
              <w:t> </w:t>
            </w:r>
          </w:p>
        </w:tc>
        <w:tc>
          <w:tcPr>
            <w:tcW w:w="1929"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pPr>
            <w:r>
              <w:rPr/>
              <w:t>Customer Support Division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5" w:type="dxa"/>
            <w:tcBorders/>
            <w:shd w:fill="CCEEFF" w:val="clear"/>
            <w:tcMar>
              <w:bottom w:w="0" w:type="dxa"/>
            </w:tcMar>
            <w:vAlign w:val="center"/>
          </w:tcPr>
          <w:p>
            <w:pPr>
              <w:pStyle w:val="TableContents"/>
              <w:bidi w:val="0"/>
              <w:spacing w:before="0" w:after="283"/>
              <w:jc w:val="center"/>
              <w:rPr/>
            </w:pPr>
            <w:r>
              <w:rPr/>
              <w:t> </w:t>
            </w:r>
          </w:p>
        </w:tc>
        <w:tc>
          <w:tcPr>
            <w:tcW w:w="1929" w:type="dxa"/>
            <w:tcBorders/>
            <w:shd w:fill="CCEEFF" w:val="clear"/>
            <w:tcMar>
              <w:bottom w:w="0" w:type="dxa"/>
            </w:tcMar>
            <w:vAlign w:val="center"/>
          </w:tcPr>
          <w:p>
            <w:pPr>
              <w:pStyle w:val="TableContents"/>
              <w:bidi w:val="0"/>
              <w:spacing w:before="0" w:after="283"/>
              <w:jc w:val="center"/>
              <w:rPr/>
            </w:pPr>
            <w:r>
              <w:rPr/>
              <w:t>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55" w:type="dxa"/>
            <w:tcBorders/>
            <w:shd w:fill="FFFFFF" w:val="clear"/>
            <w:tcMar>
              <w:bottom w:w="0" w:type="dxa"/>
            </w:tcMar>
            <w:vAlign w:val="center"/>
          </w:tcPr>
          <w:p>
            <w:pPr>
              <w:pStyle w:val="TableContents"/>
              <w:bidi w:val="0"/>
              <w:spacing w:before="0" w:after="283"/>
              <w:jc w:val="left"/>
              <w:rPr/>
            </w:pPr>
            <w:r>
              <w:rPr/>
              <w:t>Public Relation Media Marketing Division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5" w:type="dxa"/>
            <w:tcBorders/>
            <w:shd w:fill="FFFFFF" w:val="clear"/>
            <w:tcMar>
              <w:bottom w:w="0" w:type="dxa"/>
            </w:tcMar>
            <w:vAlign w:val="center"/>
          </w:tcPr>
          <w:p>
            <w:pPr>
              <w:pStyle w:val="TableContents"/>
              <w:bidi w:val="0"/>
              <w:spacing w:before="0" w:after="283"/>
              <w:jc w:val="center"/>
              <w:rPr/>
            </w:pPr>
            <w:r>
              <w:rPr/>
              <w:t> </w:t>
            </w:r>
          </w:p>
        </w:tc>
        <w:tc>
          <w:tcPr>
            <w:tcW w:w="1929" w:type="dxa"/>
            <w:tcBorders/>
            <w:shd w:fill="FFFFFF" w:val="clear"/>
            <w:tcMar>
              <w:bottom w:w="0" w:type="dxa"/>
            </w:tcMar>
            <w:vAlign w:val="center"/>
          </w:tcPr>
          <w:p>
            <w:pPr>
              <w:pStyle w:val="TableContents"/>
              <w:bidi w:val="0"/>
              <w:spacing w:before="0" w:after="283"/>
              <w:jc w:val="center"/>
              <w:rPr/>
            </w:pPr>
            <w:r>
              <w:rPr/>
              <w:t>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5" w:type="dxa"/>
            <w:tcBorders/>
            <w:shd w:fill="CCEEFF" w:val="clear"/>
            <w:tcMar>
              <w:bottom w:w="0" w:type="dxa"/>
            </w:tcMar>
            <w:vAlign w:val="center"/>
          </w:tcPr>
          <w:p>
            <w:pPr>
              <w:pStyle w:val="TableContents"/>
              <w:bidi w:val="0"/>
              <w:spacing w:before="0" w:after="283"/>
              <w:jc w:val="center"/>
              <w:rPr/>
            </w:pPr>
            <w:r>
              <w:rPr/>
              <w:t> </w:t>
            </w:r>
          </w:p>
        </w:tc>
        <w:tc>
          <w:tcPr>
            <w:tcW w:w="1929" w:type="dxa"/>
            <w:tcBorders/>
            <w:shd w:fill="CCEEFF" w:val="clear"/>
            <w:tcMar>
              <w:bottom w:w="0" w:type="dxa"/>
            </w:tcMar>
            <w:vAlign w:val="center"/>
          </w:tcPr>
          <w:p>
            <w:pPr>
              <w:pStyle w:val="TableContents"/>
              <w:bidi w:val="0"/>
              <w:spacing w:before="0" w:after="283"/>
              <w:jc w:val="center"/>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5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5" w:type="dxa"/>
            <w:tcBorders/>
            <w:shd w:fill="FFFFFF" w:val="clear"/>
            <w:tcMar>
              <w:bottom w:w="0" w:type="dxa"/>
            </w:tcMar>
            <w:vAlign w:val="center"/>
          </w:tcPr>
          <w:p>
            <w:pPr>
              <w:pStyle w:val="TableContents"/>
              <w:bidi w:val="0"/>
              <w:spacing w:before="0" w:after="283"/>
              <w:jc w:val="center"/>
              <w:rPr/>
            </w:pPr>
            <w:r>
              <w:rPr/>
              <w:t> </w:t>
            </w:r>
          </w:p>
        </w:tc>
        <w:tc>
          <w:tcPr>
            <w:tcW w:w="1929" w:type="dxa"/>
            <w:tcBorders/>
            <w:shd w:fill="FFFFFF" w:val="clear"/>
            <w:tcMar>
              <w:bottom w:w="0" w:type="dxa"/>
            </w:tcMar>
            <w:vAlign w:val="center"/>
          </w:tcPr>
          <w:p>
            <w:pPr>
              <w:pStyle w:val="TableContents"/>
              <w:bidi w:val="0"/>
              <w:spacing w:before="0" w:after="283"/>
              <w:jc w:val="center"/>
              <w:rPr/>
            </w:pPr>
            <w:r>
              <w:rPr/>
              <w:t>19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our full-time employees, five of them were contract employees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agreements with our full-time employees. The employment agreements have an indefinite term and may be terminated by the employee with a 30-day advance notice. Dismissal of the employee by us is required to be done by a written notice. The employment agreement requires our employees to keep the confidentiality of the information we hold. This confidentiality duty supersedes the termination of the employment agreement. Our current employment agreement form provides that the intellectual property rights arising from the employee’s duty with the Company shall belong to the Company. Additionally, the employees shall not, directly or indirectly, be involved with the competition against the Company both during and one year after their employment at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material labor disputes in the past. None of our employees are represented by labor unions.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on the sixth floor of Le Gratteciel Building 2, 6th Floor, 5-22-6 Shimbashi, Minato Ward, Tokyo, Japan, where we lease offices from an independent third party with an area of approximately 125 square meters (approximately 1,345.49 square feet), with a lease term from April 2025 to April 2027 and a monthly rent of JPY586,055. The lease agreement automatically renews for successive two-year terms unless either party notifies the other party of its intention to the contrary in writing no later than three months before the expiration of the then-current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not subject to seasonal fluctuations. We enter into business contracts with our customers throughout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are subject to various governmental regulations in Japan. The principal regulations affecting our business operations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Attorneys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72 of the Attorneys Act stipulates that no person other than an attorney or a legal professional corporation may, for the purpose of earning compensation, provide an expert opinion about, represent a client for, arbitrate or settle, or otherwise provide legal services in relation to litigation, non-contentious cases, complaints against administrative authority including requests for administrative review, requests for re-investigation and requests for re-examination or other general legal cases, or may engage in mediation services related to these cases; provided, however, this does not apply if otherwise provided in the Act or other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Ministry of Justice published the guideline “The Relationship between the Provision of Contract and Other Related Business Support Services Using AI, etc. and Article 72 of the Attorneys Act,” clarifying the relationship between Article 72 of the Attorneys Act and automatic legal consulting services or automatic contract review services (the “Automated Legal Services”). The guideline provides the term “legal cases” in Article 72 of the Attorneys Act is generally defined as a case in which there is a dispute or doubt concerning legal rights and obligations, or in which a new relationship of rights and obligations arises. In order to fall under “general legal cases” under Article 72, a case must have a so-called “incidental nature,” meaning that there is a dispute or question concerning legal rights and obligations to the same degree as the “the case for which an appeal is filed with the administrative authority” listed in the main text of Article 72. The “incidental nature” should be judged on a case-by-case basis, taking into consideration the purpose of the contract, the relationship between the parties to the contract, the circumstances leading up to the contract, the background circumstances, and various other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 further provides, as an example, that when the parties to a transaction are trying to settle a dispute out of court and conclude a settlement agreement, the “incidental nature” is recognized as there is a dispute or doubt as to the legal rights and obligations. Therefore, it can be considered to fall under “general legal cases” to provide the Automated Legal Services for drafting contracts or like in relation to such cases. The guideline says, on the other hand, when concluding a contract to procure the same goods as before based on an existing basic contract without any disputes, it is usually difficult to recognize the so-called “incidental nature,” and it does not usually fall under “other general legal cases” to provide the Automated Legal Services for drafting contracts or like to clarify the contractual relationship. We believe that our services are in compliance with these guidelines.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services to support the examination of contracts and other legal services, if the following functions and indications are recognized in the system constructed to provide the service, the service may fall under the category of “legal services such as provision of an expert opinion”: (i) when the existence or non-existence of legal risk and its degree according to individual cases are indicated with regard to the contents of the contract to be examined, and (ii) when the legal process of the contract, its background, and the contents to be contracted in each case are legally processed, and specific amendment proposals are indicated according to the process of the contract. On the other hand, if, for example, the provision of the service is limited to the following functions and indications, the service does not usually fall under “legal services such as provision of an expert opinion” and is not considered to violate Article 72: (i) when there is a discrepancy between the description of the contract, subject to review and the description of the model of the contract, registered in advance in the system by the provider or user of the service, and the discrepancy is only indicated without regard to the meaning of the words and phrases, (ii) when the descriptions in the contract, subject to review match the descriptions in the template of the contract, or the wording in the checklist that the provider or user of the service has registered in the system in advance, and (iii) when the language and semantics are similar to those in the template or the checklist, and when the same or similar clauses or phrases are only indicated in the template or the checklist without individual modification.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Mediation services, including lawyer matching function, does not violate Article 72 unless such services are done for the purpose of earning compensation. We do not receive any fees from the public or from attorneys registered, and therefore, as advised by our Japan legal counsel, we comply with these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 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labor-related laws in Japan, including the Labor Standards Act (Act No. 49 of April 7, 1947, as amended), the Industrial Safety and Health Act (Act No. 57 of June 8, 1972, as amended), and the Labor Contracts Act (Act No. 128 of December 5, 2007). The Labor Standards Act regulates, among others, minimum standards for working conditions such as working hours, leave period, and leave days. The Industrial Safety and Health Act requires, among others, the implementation of measures to secure employee safety and protect the health of workers in the workplace. The Labor Contracts Act regulates, among others, the change of terms of employment contracts and working rules, and dismissal and disciplinary action.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Personal Information Protection 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regarding protection of personal information. The Act on the Protection of Personal Information (Act No. 57 of May 30, 2003, as amended) and its related guidelines (collectively, “Act No. 57”) impose various requirements on businesses, including us, that use databases containing personal information. Under Act No. 57 , we are required to lawfully use personal information which we have obtained within the purposes of use we have specified and take appropriate measures to safeguard personal data. We are also restricted from providing personal data to third parties without obtaining prior consent of the corresponding individual, subject to statutory exceptions and other circumstances permitted under the Act No. 57, including a prescribed opt-out procedure and cases in which a recipient is not treated as a third party. Personal information as to an identifiable person’s race, creed, social status, medical history, criminal record, the fact of having suffered damage by a crime, or other identifiers or their equivalent are prescribed by cabinet order as those of requiring special care so as not to cause unjust discrimination, prejudice or other disadvantages to that person, are classified as “special care-required personal information.” Subject to statutory exceptions, we generally may not acquire special care-required personal information without the prior consent of the relevant individual.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a bill amending the Act No. 57 was passed by both houses of the Japanese Diet. Among other changes, the Act No. 57, as amended, permits certain disclosures of personal information to third parties for statistical and similar purposes without the relevant individual’s consent, and most provisions will take effect on a date specified by cabinet order within two years after promulgation.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Protection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intellectual property laws in Japan, including the Patent Act (Act No. 121 of April 13, 1959, as amended), the Utility Model Act (Act No. 123 of April 13, 1959, as amended), the Design Act (Act No. 125 of April 13, 1959, as amended), the Trademark Act (Act No. 127 of April 13, 1959, as amended), and the Copyright Act (Act No. 48 of May 6, 1970). The Patent Act provides patent right and regulates protection and utilization of inventions. The Utility Model Act provides utility model right and regulates protection and utilization of devices. The Design Act provides design rights. The Trademark Act provides trademark rights. The Copyright Act provides authors’ rights and neighboring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Advertising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against Unjustifiable Premiums and Misleading Representations (Act No. 134 of May 15, 1962) stipulates the restricted methods and means of various advertisements, representations, and sales promotions, in a broad sense. When we advertise our products, we must provide appropriate information under this Act, so as not to mislead our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 on Proper Transactions with Small and Medium-Sized Entrusted Business Operators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the former Act against Delay in Payment of Proceeds, etc. to Subcontractors was substantially amended and renamed the Act on Proper Transactions with Small and Medium-Sized Entrusted Business Operators (the “SME Transactions Act”). The SME Transactions Act applies to certain outsourcing arrangements involving manufacturing, repair, the creation of information-based products, the provision of services or specified transportation services, based principally on the nature of the transaction and prescribed thresholds relating to the parties’ stated capital or number of regular employees. Where the SME Transactions Act applies to us, we must, among other things, clearly indicate the terms of each order in writing or electronically, set a payment due date as short as possible and no later than 60 days from receipt of the relevant deliverables or services, retain prescribed records and pay interest on delinquent payments. The SME Transactions Act also prohibits various unfair practices, including delayed or reduced payments, unjustified refusal or return of deliverables, unreasonably low consideration, unjustified changes or rework, payment by promissory notes or other methods that make it difficult to receive full payment by the due date, and unilateral determination of consideration without appropriately responding to requested price consultations.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formation, organization, operation and management of companies are governed by the Companies Act (Act No. 86 of July 26, 2005, as amended) and other related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taxes levied in Japan on income generated by the activities of a corporation include corporate tax (national tax), local corporate tax (national tax), corporate inhabitant tax (local tax), enterprise tax (local tax), and special local corporate tax (a national tax). The scope of income subject to the taxes is determined and the taxable income is calculated in accordance with the tax-related laws and regulations, including the Corporation Tax Act (Act No. 34 of March 31, 1965, as amended) and the Local Corporation Tax Act (Act No.11 of March 31, 2014, as amended). Corporate inhabitant taxes are levied on corporate tax amount and a per capita basis using the corporation’s capital and the number of its employees as the tax base. Business transaction is levied consumption tax which is a type of value-added tax.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and Foreign Trade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FEFTA regulates foreigners’ investment activities into Japanese companies. Under the FEFTA, among other triggering events, a foreign investor, including (i) an individual who is a non-resident, (ii) a juridical person or other organization established pursuant to foreign laws and regulations, or a juridical person or other organization having its principal office in a foreign state or a juridical person or other organization defined under the FEFTA (the “Foreign Investor”) who desires to acquire shares in a Japanese company which is not listed on any stock exchange in Japan, is subject to a prior filing requirement, regardless of the acquired number of shares, if such Japanese company engages any business in certain industries related to national security. Such industries include, among other things, manufacturing in relation to weapons, aircraft, space, and nuclear power, as well as agriculture, fishery, mining, and utility services. Additionally, due to growing awareness of technology, the scope of FEFTA was expanded, through amendments, to cover industries related to data processing businesses and information and communication technologies services. A Foreign Investor wishing to acquire or hold our Ordinary Shares directly will be required to submit a filing in advance with the relevant government authorities through the Bank of Japan and receive clearance from the applicable governmental authorities before proceeding with the intended acquisition. Without such clearance, the Foreign Investor will not be permitted to acquire or hold our Ordinary Shares directly. Once clearance is obtained, the Foreign Investor may acquire shares in the amount indicated in the filing at any time within six months from the date of filing. While the standard waiting period for clearance is 30 days, the waiting period could be expedited to four business days, at the discretion of the applicable governmental authorities, depending on the level of potential impact on national security. In addition to the advance filing requirement, when a Foreign Investor who completed an advance filing and received clearance has acquired shares in accordance with the filed information, such Foreign Investor will be required to make a post-acquisition notice filing to report the completion of purchase. Such post-acquisition notice filing must be made no later than 45 days after the acquisition of the shares. See also “Item 10. Additional Information—D. Exchange Controls.”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on 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Japanese government enacted the Act on Promotion of Research and Development, and Utilization of Artificial Intelligence-related Technology (Act No. 53 of June 4, 2025), which establishes a basic framework for promoting the research and development and utilization of AI-related technology, including basic principles, responsibilities of the national and local governments, research and development institutions, and business operators utilizing AI-related technology, and the establishment of the AI Strategy Headquarters.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Japanese government has been active in developing guidelines related to AI. For example, METI and Ministry of Internal Affairs and Communications compiled existing AI guidelines released by these two ministries and published AI Guidelines for Business version 1.0 on April 10, 2024. The guidelines aim to provide basic guiding principles for those who develop, provide, or use AI in businesses. The guidelines were subsequently updated to version 1.2 in March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is no federal law or regulation specifically relating to AI in the United States, as of the date of this annual report, and AI policy has been evolving overtime. For example, in July 2025, President Trump announced an “AI Action Plan” through three executive orders, rescinding former President Biden’s 2023 executive order on AI. The plan mandates “truth-seeking” and “ideological neutrality” for federal use of large language models, requiring all procurement contracts to comply by November 20, 2025. It streamlines federal permitting for high-power data centers by overriding environmental reviews and encourages financing and fast-tracking of AI infrastructure. A third order promotes global exports of the U.S. “AI technology stack,” including chips, models, and security tools. The Office of Management and Budget implemented this through memos M-25-21 and M-25-22, embedding AI governance across federal systems and requiring transparency in public AI use cases, while prioritizing domestic AI suppliers under “buy American”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President Trump signed another executive order titled “Promoting Advanced Artificial Intelligence Innovation and Securities,” including measures to address emerging cybersecurity risks presented by advanced AI models by directing the Secretaries of the Treasury, War, and Homeland Securities and relevant components to develop (i) a classified benchmarking process to assess the advanced cyber capabilities of AI models and determine the threshold at which they should be designated a “covered frontier model” for the purposes of the order, and (ii) a voluntary framework for AI developers to (x) engage with the federal government to determine whether models meet the threshold for designation, and (y) grant agencies access to covered frontier models for 30 days prior to release to wider audiences.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regulatory frameworks rapidly evolve, we may become subject to new laws and regulations, either in Japan or in the United States, which may affect the legality, profitability, or sustainability of our businesses, and we may be unable to predict all of the legal, operational, or technological risks that may arise relating to the use of AI. The failure to comply with recommended guidelines, such as the AI Guidelines for Business version 1.0 in Japan, may also negatively affect our reputation. See “Item 3. Key Information—D. Risk Factors—Risks Related to Our Business and Industry—We plan to incorporate AI technologies into some of our products and services, which may present operational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History and Development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Property, Plants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sh_007"/>
      <w:bookmarkEnd w:id="52"/>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sh_008"/>
      <w:bookmarkEnd w:id="53"/>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073" w:type="dxa"/>
        <w:jc w:val="left"/>
        <w:tblInd w:w="0" w:type="dxa"/>
        <w:tblLayout w:type="fixed"/>
        <w:tblCellMar>
          <w:top w:w="0" w:type="dxa"/>
          <w:left w:w="0" w:type="dxa"/>
          <w:bottom w:w="0" w:type="dxa"/>
          <w:right w:w="0" w:type="dxa"/>
        </w:tblCellMar>
      </w:tblPr>
      <w:tblGrid>
        <w:gridCol w:w="4385"/>
        <w:gridCol w:w="60"/>
        <w:gridCol w:w="62"/>
        <w:gridCol w:w="707"/>
        <w:gridCol w:w="95"/>
        <w:gridCol w:w="60"/>
        <w:gridCol w:w="60"/>
        <w:gridCol w:w="1055"/>
        <w:gridCol w:w="95"/>
        <w:gridCol w:w="60"/>
        <w:gridCol w:w="60"/>
        <w:gridCol w:w="980"/>
        <w:gridCol w:w="95"/>
        <w:gridCol w:w="60"/>
        <w:gridCol w:w="60"/>
        <w:gridCol w:w="875"/>
        <w:gridCol w:w="95"/>
        <w:gridCol w:w="60"/>
        <w:gridCol w:w="69"/>
        <w:gridCol w:w="730"/>
        <w:gridCol w:w="350"/>
      </w:tblGrid>
      <w:tr>
        <w:trPr/>
        <w:tc>
          <w:tcPr>
            <w:tcW w:w="4385" w:type="dxa"/>
            <w:tcBorders/>
            <w:vAlign w:val="center"/>
          </w:tcPr>
          <w:p>
            <w:pPr>
              <w:pStyle w:val="TableContents"/>
              <w:bidi w:val="0"/>
              <w:spacing w:before="0" w:after="283"/>
              <w:jc w:val="left"/>
              <w:rPr>
                <w:b/>
              </w:rPr>
            </w:pPr>
            <w:r>
              <w:rPr>
                <w:b/>
              </w:rPr>
              <w:t>(in thousands, except change % data)</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5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YoY %</w:t>
            </w:r>
          </w:p>
        </w:tc>
        <w:tc>
          <w:tcPr>
            <w:tcW w:w="35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Sales of Software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1,851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143,557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95.1</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Consulting and Support Services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524,590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(209,299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(39.9</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3,845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611,708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675,561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(9.5</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122.6</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b/>
              </w:rPr>
            </w:pPr>
            <w:r>
              <w:rPr>
                <w:b/>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602,948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671,625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(68,677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(10.2</w:t>
            </w:r>
          </w:p>
        </w:tc>
        <w:tc>
          <w:tcPr>
            <w:tcW w:w="350" w:type="dxa"/>
            <w:tcBorders/>
            <w:shd w:fill="CCEEFF" w:val="clear"/>
            <w:vAlign w:val="center"/>
          </w:tcPr>
          <w:p>
            <w:pPr>
              <w:pStyle w:val="TableContents"/>
              <w:bidi w:val="0"/>
              <w:spacing w:before="0" w:after="283"/>
              <w:jc w:val="left"/>
              <w:rPr>
                <w:b/>
              </w:rPr>
            </w:pPr>
            <w:r>
              <w:rPr>
                <w:b/>
              </w:rPr>
              <w:t>)%</w:t>
            </w:r>
          </w:p>
        </w:tc>
      </w:tr>
      <w:tr>
        <w:trPr/>
        <w:tc>
          <w:tcPr>
            <w:tcW w:w="43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(86,158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(100.0</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pPr>
            <w:r>
              <w:rPr/>
              <w:t>13,087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2,081,845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1,119,641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962,204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85.9</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FFFFFF" w:val="clear"/>
            <w:tcMar>
              <w:bottom w:w="28" w:type="dxa"/>
            </w:tcMar>
            <w:vAlign w:val="center"/>
          </w:tcPr>
          <w:p>
            <w:pPr>
              <w:pStyle w:val="TableContents"/>
              <w:bidi w:val="0"/>
              <w:spacing w:before="0" w:after="283"/>
              <w:jc w:val="right"/>
              <w:rPr/>
            </w:pPr>
            <w:r>
              <w:rPr/>
              <w:t>13,087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2,081,845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1,205,799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876,046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72.7</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(1,478,897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(534,174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(944,723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176.9</w:t>
            </w:r>
          </w:p>
        </w:tc>
        <w:tc>
          <w:tcPr>
            <w:tcW w:w="350" w:type="dxa"/>
            <w:tcBorders/>
            <w:shd w:fill="CCEEFF" w:val="clear"/>
            <w:vAlign w:val="center"/>
          </w:tcPr>
          <w:p>
            <w:pPr>
              <w:pStyle w:val="TableContents"/>
              <w:bidi w:val="0"/>
              <w:spacing w:before="0" w:after="283"/>
              <w:jc w:val="left"/>
              <w:rPr>
                <w:b/>
              </w:rPr>
            </w:pPr>
            <w:r>
              <w:rPr>
                <w:b/>
              </w:rPr>
              <w:t>%</w:t>
            </w:r>
          </w:p>
        </w:tc>
      </w:tr>
      <w:tr>
        <w:trPr/>
        <w:tc>
          <w:tcPr>
            <w:tcW w:w="4385" w:type="dxa"/>
            <w:tcBorders/>
            <w:shd w:fill="FFFFFF" w:val="clear"/>
            <w:vAlign w:val="center"/>
          </w:tcPr>
          <w:p>
            <w:pPr>
              <w:pStyle w:val="TableContents"/>
              <w:bidi w:val="0"/>
              <w:spacing w:before="0" w:after="283"/>
              <w:jc w:val="left"/>
              <w:rPr/>
            </w:pPr>
            <w:r>
              <w:rPr/>
              <w:t>Other expenses,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300.2</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(9,363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(1,489,414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(534,685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(954,729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178.6</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(9,363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(1,489,414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(534,685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(954,729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178.6</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fiscal year ended March 31, 2026 was JPY611,708 thousand (approximately $3,845 thousand), decreased by JPY63,853 thousand, or 9.5%, from revenue of JPY675,561 thousand in the fiscal year ended March 31, 2025. The decrease was primarily driven by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software: revenue from sales of software increased by JPY143,557 thousand, or 95.1%. The increase was mainly driven by the sales of Billing Robot, which we released during the fiscal year ended March 31, 2026.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support services: revenue from consulting and support services decreased by JPY209,299 thousand, or 39.9%, as there were fewer customers who signed up for our e-learning and software installation support services in the fiscal year ended March 31,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in other includes usage fees we earn from providing services to Infurcion for Billing Robot. As we released Billing Robot during the fiscal year ended March 31, 2026, we added a new revenue stream in the current year.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for the fiscal year ended March 31, 2026 was JPY8,760 thousand (approximately $55 thousand), compared to JPY3,936 thousand for the fiscal year ended March 31, 2025, representing an increase of JPY4,824 thousand, or 122.6%. The increase was primarily due to the costs of revenue related to the Digitalization &amp; AI Implementation Subsidy application consulting and support services, which had a higher cost of revenue relative to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fiscal year ended March 31, 2026 were nil, compared to JPY86,158 thousand for the fiscal year ended March 31, 2025, representing a decrease of JPY86,158 thousand or 100.0%. The decrease was primarily due to reduced software development costs related to Robot Lawyer and Billing Robot incurred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Selling, General and Administrative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SG&amp;A)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for the fiscal year ended March 31, 2026 were JPY2,081,845 thousand (approximately $13,087 thousand), compared to JPY1,119,641 thousand for the fiscal year ended March 31, 2025, representing an increase of JPY962,204 thousand or 85.9%. The increase was primarily due to higher outsourcing costs and advertising expenses related to being a public company, as well as stock-based compensation expenses which were recognized upon the completion of the IPO. The increase was partially offset by lower professional fees such as 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net and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for the fiscal year ended March 31, 2026 were JPY2,045 thousand (approximately $13 thousand), compared to JPY511 thousand for the fiscal year ended March 31, 2025, representing an increase of JPY1,534 thousand, or 300.2%. The increase was primarily due to the JPY8,541 thousand (approximately $54 thousand) loss from remeasurement of crypto assets in the fiscal year ended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net loss was JPY1,489,414 thousand (approximately $9,363 thousand) during the fiscal year ended March 31, 2026, compared to the net loss of JPY534,685 thousand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for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change % data)</w:t>
      </w:r>
    </w:p>
    <w:p>
      <w:pPr>
        <w:pStyle w:val="TextBody"/>
        <w:bidi w:val="0"/>
        <w:spacing w:before="0" w:after="0"/>
        <w:ind w:left="0" w:right="0" w:hanging="0"/>
        <w:jc w:val="both"/>
        <w:rPr>
          <w:caps w:val="false"/>
          <w:smallCaps w:val="false"/>
        </w:rPr>
      </w:pPr>
      <w:r>
        <w:rPr>
          <w:caps w:val="false"/>
          <w:smallCaps w:val="false"/>
        </w:rPr>
        <w:t> </w:t>
      </w:r>
    </w:p>
    <w:tbl>
      <w:tblPr>
        <w:tblW w:w="9998" w:type="dxa"/>
        <w:jc w:val="left"/>
        <w:tblInd w:w="0" w:type="dxa"/>
        <w:tblLayout w:type="fixed"/>
        <w:tblCellMar>
          <w:top w:w="0" w:type="dxa"/>
          <w:left w:w="0" w:type="dxa"/>
          <w:bottom w:w="0" w:type="dxa"/>
          <w:right w:w="0" w:type="dxa"/>
        </w:tblCellMar>
      </w:tblPr>
      <w:tblGrid>
        <w:gridCol w:w="4385"/>
        <w:gridCol w:w="60"/>
        <w:gridCol w:w="66"/>
        <w:gridCol w:w="703"/>
        <w:gridCol w:w="95"/>
        <w:gridCol w:w="60"/>
        <w:gridCol w:w="60"/>
        <w:gridCol w:w="980"/>
        <w:gridCol w:w="95"/>
        <w:gridCol w:w="60"/>
        <w:gridCol w:w="60"/>
        <w:gridCol w:w="980"/>
        <w:gridCol w:w="95"/>
        <w:gridCol w:w="60"/>
        <w:gridCol w:w="60"/>
        <w:gridCol w:w="875"/>
        <w:gridCol w:w="95"/>
        <w:gridCol w:w="60"/>
        <w:gridCol w:w="77"/>
        <w:gridCol w:w="722"/>
        <w:gridCol w:w="35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5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YoY %</w:t>
            </w:r>
          </w:p>
        </w:tc>
        <w:tc>
          <w:tcPr>
            <w:tcW w:w="35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101.0</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Consulting and Support Services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524,590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617,979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(15.1</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4,507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675,561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(2.5</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(80.2</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b/>
              </w:rPr>
            </w:pPr>
            <w:r>
              <w:rPr>
                <w:b/>
              </w:rPr>
              <w:t>4,481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671,625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673,256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(1,631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b/>
              </w:rPr>
            </w:pPr>
            <w:r>
              <w:rPr>
                <w:b/>
              </w:rPr>
              <w:t>(0.2</w:t>
            </w:r>
          </w:p>
        </w:tc>
        <w:tc>
          <w:tcPr>
            <w:tcW w:w="350" w:type="dxa"/>
            <w:tcBorders/>
            <w:shd w:fill="FFFFFF" w:val="clear"/>
            <w:vAlign w:val="center"/>
          </w:tcPr>
          <w:p>
            <w:pPr>
              <w:pStyle w:val="TableContents"/>
              <w:bidi w:val="0"/>
              <w:spacing w:before="0" w:after="283"/>
              <w:jc w:val="left"/>
              <w:rPr>
                <w:b/>
              </w:rPr>
            </w:pPr>
            <w:r>
              <w:rPr>
                <w:b/>
              </w:rPr>
              <w:t>)%</w:t>
            </w:r>
          </w:p>
        </w:tc>
      </w:tr>
      <w:tr>
        <w:trPr/>
        <w:tc>
          <w:tcPr>
            <w:tcW w:w="43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(16.7</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7,469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1,119,641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1,221,614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(101,973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(8.3</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8,044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1,205,799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1,325,054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(9.0</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b/>
              </w:rPr>
            </w:pPr>
            <w:r>
              <w:rPr>
                <w:b/>
              </w:rPr>
              <w:t>(3,563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(534,174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(651,798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117,624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b/>
              </w:rPr>
            </w:pPr>
            <w:r>
              <w:rPr>
                <w:b/>
              </w:rPr>
              <w:t>(18.0</w:t>
            </w:r>
          </w:p>
        </w:tc>
        <w:tc>
          <w:tcPr>
            <w:tcW w:w="350" w:type="dxa"/>
            <w:tcBorders/>
            <w:shd w:fill="FFFFFF" w:val="clear"/>
            <w:vAlign w:val="center"/>
          </w:tcPr>
          <w:p>
            <w:pPr>
              <w:pStyle w:val="TableContents"/>
              <w:bidi w:val="0"/>
              <w:spacing w:before="0" w:after="283"/>
              <w:jc w:val="left"/>
              <w:rPr>
                <w:b/>
              </w:rPr>
            </w:pPr>
            <w:r>
              <w:rPr>
                <w:b/>
              </w:rPr>
              <w:t>)%</w:t>
            </w:r>
          </w:p>
        </w:tc>
      </w:tr>
      <w:tr>
        <w:trPr/>
        <w:tc>
          <w:tcPr>
            <w:tcW w:w="4385" w:type="dxa"/>
            <w:tcBorders/>
            <w:shd w:fill="CCEEFF" w:val="clear"/>
            <w:vAlign w:val="center"/>
          </w:tcPr>
          <w:p>
            <w:pPr>
              <w:pStyle w:val="TableContents"/>
              <w:bidi w:val="0"/>
              <w:spacing w:before="0" w:after="283"/>
              <w:jc w:val="left"/>
              <w:rPr/>
            </w:pPr>
            <w:r>
              <w:rPr/>
              <w:t>Other expenses, net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(95.0</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b/>
              </w:rPr>
            </w:pPr>
            <w:r>
              <w:rPr>
                <w:b/>
              </w:rPr>
              <w:t>(3,566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(534,685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(661,966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(19.2</w:t>
            </w:r>
          </w:p>
        </w:tc>
        <w:tc>
          <w:tcPr>
            <w:tcW w:w="35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0.0</w:t>
            </w:r>
          </w:p>
        </w:tc>
        <w:tc>
          <w:tcPr>
            <w:tcW w:w="35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(534,685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(661,966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127,281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(19.2</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fiscal year ended March 31, 2025 was JPY675,561 thousand, decreased by JPY17,543 thousand or 2.5% from JPY693,104 thousand in the fiscal year ended March 31, 2024. The decrease was primarily driven by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revenue: revenue from sales of software increased by JPY75,846 thousand. Since the Company released its software, Labor Robot, in 2023, the number of accumulated users increased, with more users as of March 31, 2025 compared to March 31, 2024, which resulted in higher revenue in the fiscal year ended March 31, 2025.</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support services: revenue from consulting and support services decreased by JPY93,389 thousand, as the Company discontinued the e-commerce store set-up services and had no revenue from such services during the fiscal year ended March 31, 2025.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for the fiscal year ended March 31, 2025 was JPY3,936 thousand, compared to JPY19,848 thousand for the fiscal year ended March 31, 2024, representing a decrease of JPY15,912 thousand or 80.2%. The decrease was primarily due to the discontinuation of e-commerce store set-up services, which had higher cost of revenue relative to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fiscal year ended March 31, 2025 were JPY86,158 thousand, down by JPY17,282 thousand or 16.7% from JPY103,440 thousand for the fiscal year ended March 31, 2024. The decrease was primarily due to reduced software development costs related to Lawyer Robot incurred during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SG&amp;A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for the fiscal year ended March 31, 2025 were JPY1,119,641 thousand, compared to JPY1,221,614 thousand for the fiscal year ended March 31, 2024, representing a decrease of JPY101,973 thousand or 8.3%. The decrease was primarily due to lower audit-related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 net and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for the fiscal year ended March 31, 2025 were JPY511 thousand, compared to JPY10,168 thousand for the fiscal year ended March 31, 2024, representing a decrease of JPY9,657 thousand, or 95.0%. The decrease was primarily due to the impairment loss on investments as non-recurring expenses in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net loss was JPY534,685 thousand during the fiscal year ended March 31, 2025, compared to the net loss of JPY661,966 thousand during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fiscal years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(Yen in thousand)</w:t>
      </w:r>
    </w:p>
    <w:tbl>
      <w:tblPr>
        <w:tblW w:w="10017" w:type="dxa"/>
        <w:jc w:val="left"/>
        <w:tblInd w:w="0" w:type="dxa"/>
        <w:tblLayout w:type="fixed"/>
        <w:tblCellMar>
          <w:top w:w="0" w:type="dxa"/>
          <w:left w:w="0" w:type="dxa"/>
          <w:bottom w:w="0" w:type="dxa"/>
          <w:right w:w="0" w:type="dxa"/>
        </w:tblCellMar>
      </w:tblPr>
      <w:tblGrid>
        <w:gridCol w:w="6830"/>
        <w:gridCol w:w="60"/>
        <w:gridCol w:w="178"/>
        <w:gridCol w:w="1347"/>
        <w:gridCol w:w="121"/>
        <w:gridCol w:w="76"/>
        <w:gridCol w:w="178"/>
        <w:gridCol w:w="1117"/>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March 31,</w:t>
            </w:r>
          </w:p>
        </w:tc>
        <w:tc>
          <w:tcPr>
            <w:tcW w:w="110" w:type="dxa"/>
            <w:tcBorders/>
            <w:vAlign w:val="center"/>
          </w:tcPr>
          <w:p>
            <w:pPr>
              <w:pStyle w:val="TableContents"/>
              <w:bidi w:val="0"/>
              <w:spacing w:before="0" w:after="283"/>
              <w:jc w:val="center"/>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center"/>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347" w:type="dxa"/>
            <w:tcBorders/>
            <w:shd w:fill="FFFFFF" w:val="clear"/>
            <w:vAlign w:val="center"/>
          </w:tcPr>
          <w:p>
            <w:pPr>
              <w:pStyle w:val="TableContents"/>
              <w:bidi w:val="0"/>
              <w:spacing w:before="0" w:after="283"/>
              <w:jc w:val="right"/>
              <w:rPr/>
            </w:pPr>
            <w:r>
              <w:rPr/>
              <w:t>(1,489,414</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(534,685</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4,337</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2,892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Noncash lease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7,052</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6,643</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388</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(7,044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Stock option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16,368</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Loss from remeasurement of crypto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8,541</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(139,705</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70,056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Related party receivables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9,304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Income tax receivable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(60</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(101,232</w:t>
            </w:r>
          </w:p>
        </w:tc>
        <w:tc>
          <w:tcPr>
            <w:tcW w:w="121"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63,495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(344</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1,950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15,524</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(260,857</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463,800</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365,520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(7,052</w:t>
            </w:r>
          </w:p>
        </w:tc>
        <w:tc>
          <w:tcPr>
            <w:tcW w:w="121"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(6,643</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(20,626</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6,350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(1,242,423</w:t>
            </w:r>
          </w:p>
        </w:tc>
        <w:tc>
          <w:tcPr>
            <w:tcW w:w="121"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(283,019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(273</w:t>
            </w:r>
          </w:p>
        </w:tc>
        <w:tc>
          <w:tcPr>
            <w:tcW w:w="121"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(7,587</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(17,740</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(5,464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Purchase of crypto assets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121"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(48,013</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(13,051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Payment for deferred offering costs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(131,182</w:t>
            </w:r>
          </w:p>
        </w:tc>
        <w:tc>
          <w:tcPr>
            <w:tcW w:w="121"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(63,566</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 from issuance of shares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1,770,088</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provided by/(used in) 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1,638,906</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(63,566</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348,470</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(359,636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Cash,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131,482</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491,118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cash equivalents and restricted cash at end of year</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double" w:sz="6" w:space="0" w:color="000000"/>
            </w:tcBorders>
            <w:shd w:fill="CCEEFF" w:val="clear"/>
            <w:tcMar>
              <w:bottom w:w="28" w:type="dxa"/>
            </w:tcMar>
            <w:vAlign w:val="center"/>
          </w:tcPr>
          <w:p>
            <w:pPr>
              <w:pStyle w:val="TableContents"/>
              <w:bidi w:val="0"/>
              <w:spacing w:before="0" w:after="283"/>
              <w:jc w:val="right"/>
              <w:rPr/>
            </w:pPr>
            <w:r>
              <w:rPr/>
              <w:t>479,952</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131,482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Reconciliation of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347" w:type="dxa"/>
            <w:tcBorders/>
            <w:shd w:fill="FFFFFF" w:val="clear"/>
            <w:vAlign w:val="center"/>
          </w:tcPr>
          <w:p>
            <w:pPr>
              <w:pStyle w:val="TableContents"/>
              <w:bidi w:val="0"/>
              <w:spacing w:before="0" w:after="283"/>
              <w:jc w:val="right"/>
              <w:rPr/>
            </w:pPr>
            <w:r>
              <w:rPr/>
              <w:t>479,952</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112,012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19,470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Total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pPr>
            <w:r>
              <w:rPr/>
              <w:t>479,952</w:t>
            </w:r>
          </w:p>
        </w:tc>
        <w:tc>
          <w:tcPr>
            <w:tcW w:w="12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pPr>
            <w:r>
              <w:rPr/>
              <w:t>131,482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fiscal year ended March 31, 2026 was JPY1,242,423 thousand (approximately $7,810 thousand), primarily comprised of net loss of JPY1,489,414 thousand and an increase in accounts receivable and prepaid expenses and other current assets, partially offset by non-cash expenses of stock option expense and an increase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fiscal year ended March 31, 2025 was JPY283,019 thousand, primarily comprised of net loss of JPY534,685 thousand and a decrease in accounts payable and accrued expenses, partially offset by an increase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fiscal year ended March 31, 2026 was JPY48,013 thousand (approximately $302 thousand), primarily comprised of the crypto assets purchased in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fiscal year ended March 31, 2025 was JPY13,051 thousand and was primarily comprised of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fiscal year ended March 31, 2026 was JPY1,638,906 thousand (approximately $10,302 thousand) and was primarily comprised of the proceeds from issuance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fiscal year ended March 31, 2025 was JPY63,566 thousand and was comprised of payment of deferred offering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2024, we had cash of JPY112,012 thousand and JPY471,648 thousand, respectively. Liquidity is a measure of our ability to meet potential cash requirements. We generally fund our operations with cash flow from operations, and, when needed, capital injections from our principal shareholders. We may also consider borrowing from Japanese financial institutions. Our principal use of liquidity has been to fund our daily operations and working capital. We expect that our cash flow from operations, plus a portion of the net proceeds from our IPO, together with other equity and debt financings as, when and if necessary and available, will be sufficient to meet our anticipated operating expenses and cash obligations for the next 12 months. However, our ability to continue as a going concern will depend upon our ability to attract and retain revenue generating customers, acquire new customer contracts, and secure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(Yen in thousands)</w:t>
      </w:r>
    </w:p>
    <w:p>
      <w:pPr>
        <w:pStyle w:val="TextBody"/>
        <w:bidi w:val="0"/>
        <w:spacing w:before="0" w:after="0"/>
        <w:ind w:left="0" w:right="0" w:hanging="0"/>
        <w:jc w:val="both"/>
        <w:rPr>
          <w:caps w:val="false"/>
          <w:smallCaps w:val="false"/>
        </w:rPr>
      </w:pPr>
      <w:r>
        <w:rPr>
          <w:caps w:val="false"/>
          <w:smallCaps w:val="false"/>
        </w:rPr>
        <w:t> </w:t>
      </w:r>
    </w:p>
    <w:tbl>
      <w:tblPr>
        <w:tblW w:w="10017" w:type="dxa"/>
        <w:jc w:val="left"/>
        <w:tblInd w:w="0" w:type="dxa"/>
        <w:tblLayout w:type="fixed"/>
        <w:tblCellMar>
          <w:top w:w="0" w:type="dxa"/>
          <w:left w:w="0" w:type="dxa"/>
          <w:bottom w:w="0" w:type="dxa"/>
          <w:right w:w="0" w:type="dxa"/>
        </w:tblCellMar>
      </w:tblPr>
      <w:tblGrid>
        <w:gridCol w:w="6830"/>
        <w:gridCol w:w="60"/>
        <w:gridCol w:w="193"/>
        <w:gridCol w:w="1209"/>
        <w:gridCol w:w="131"/>
        <w:gridCol w:w="82"/>
        <w:gridCol w:w="193"/>
        <w:gridCol w:w="1209"/>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March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1209" w:type="dxa"/>
            <w:tcBorders/>
            <w:shd w:fill="FFFFFF" w:val="clear"/>
            <w:vAlign w:val="center"/>
          </w:tcPr>
          <w:p>
            <w:pPr>
              <w:pStyle w:val="TableContents"/>
              <w:bidi w:val="0"/>
              <w:spacing w:before="0" w:after="283"/>
              <w:jc w:val="right"/>
              <w:rPr/>
            </w:pPr>
            <w:r>
              <w:rPr/>
              <w:t>(534,685</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1209" w:type="dxa"/>
            <w:tcBorders/>
            <w:shd w:fill="FFFFFF" w:val="clear"/>
            <w:vAlign w:val="center"/>
          </w:tcPr>
          <w:p>
            <w:pPr>
              <w:pStyle w:val="TableContents"/>
              <w:bidi w:val="0"/>
              <w:spacing w:before="0" w:after="283"/>
              <w:jc w:val="right"/>
              <w:rPr/>
            </w:pPr>
            <w:r>
              <w:rPr/>
              <w:t>(661,966</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2,892</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1,832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Noncash lease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6,643</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6,179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Impairment loss on investments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10,000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 in allowance for credit losses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(7,044</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70,056</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(2,441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Related party receivable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9,304</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(7,230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63,495</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(51,507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1,950</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(2,297</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(260,857</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220,609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365,520</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175,942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(6,643</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(6,179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6,350</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(283,019</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(317,058</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(7,587</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(3,339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(5,464</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(2,101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Acquisition of investments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(10,000</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sales of investment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6,552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(13,051</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(8,888</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Payment for deferred offering costs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(63,566</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(22,015</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stock issuance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338,600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received for subscription receivable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29,834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(63,566</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346,419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(359,636</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20,473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cash equivalents and restricted cash at beginning of fiscal year</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491,118</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470,645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cash equivalents and restricted cash at end of fiscal year</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pPr>
            <w:r>
              <w:rPr/>
              <w:t>131,482</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pPr>
            <w:r>
              <w:rPr/>
              <w:t>491,118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112,012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471,648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19,470</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19,470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131,482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491,118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fiscal year ended March 31, 2025 decreased to JPY283,019 thousand, compared to JPY317,058 thousand net cash used during the fiscal year ended March 31, 2024. The decrease in cash outflow from operating activities was primarily due to the improvement of our operating results (i.e., lower net loss) in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fiscal year ended March 31, 2025 decreased to JPY13,051 thousand, compared to JPY8,888 thousand during the fiscal year ended March 31, 2024. The decrease in cash outflow was primarily due a lower amount spent on acquisition of investments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fiscal year ended March 31, 2025 decreased to the net cash outflow of JPY63,566 thousand, compared to JPY346,419 thousand during the fiscal year ended March 2024, primarily due to decrease in proceeds obtained from stock issuance and subscription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Overview—Research and Development” and “Item 4. Information on the Company—B. Business Overview—Intellectual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sh_009"/>
      <w:bookmarkEnd w:id="54"/>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information regarding members of our board of directors, our executive officers, and our corporate auditor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28" w:type="dxa"/>
          <w:right w:w="0" w:type="dxa"/>
        </w:tblCellMar>
      </w:tblPr>
      <w:tblGrid>
        <w:gridCol w:w="1865"/>
        <w:gridCol w:w="60"/>
        <w:gridCol w:w="350"/>
        <w:gridCol w:w="60"/>
        <w:gridCol w:w="3185"/>
      </w:tblGrid>
      <w:tr>
        <w:trPr/>
        <w:tc>
          <w:tcPr>
            <w:tcW w:w="186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Representative Director and Chairman </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Amit Thakur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Executive Officer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Yukio Aida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Financial Officer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Arisa Koga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Operating Officer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Tomoya Suzuki</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Technology Officer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Koji Aoki</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Mitsuhiro Kashimura*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Masaaki Seki*</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Masayoshi Takatsu*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Members of our board of statutory auditors are not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Hidetoshi Yokoyama</w:t>
      </w:r>
      <w:r>
        <w:rPr>
          <w:rFonts w:ascii="Times New Roman;Times;Serif" w:hAnsi="Times New Roman;Times;Serif"/>
          <w:b w:val="false"/>
          <w:i w:val="false"/>
          <w:caps w:val="false"/>
          <w:smallCaps w:val="false"/>
          <w:sz w:val="20"/>
        </w:rPr>
        <w:t xml:space="preserve"> is our founder and has served as our representative director since April 2020. He also served as our Chief Executive Officer from April 2020 to July 2023. Mr. Yokoyama has 9 years of experience working at TRY NET Co., Ltd. (“Trynet”), a Japanese temporary staffing company, from April 2004 to June 2013. At Trynet, he started his career in the sales department and was promoted to sales department supervisor in April 2012. His experiences in this company helped him understand the risks resulting from labor and human resource management and led him to serve as an advisor for several Certified Consultant Corporations, such as Murata Certified Consultant Corporation from July 2013 to August 2021. He served as an advisor at ASC Consultant from September 2021 to September 2022. He also has served as an advisor at Sakura Law Office since April 2012. Mr. Yokoyama is also a founder and has been a director of METAVERSE Ltd., a Micronesian company focusing on the development of metaverse with animation characters, since December 2022. Mr. Yokoyama graduated from Miyagi Kenritsu Miyako-no-jo Izumi-ga-oka High School in March 2003.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Amit Thakur</w:t>
      </w:r>
      <w:r>
        <w:rPr>
          <w:rFonts w:ascii="Times New Roman;Times;Serif" w:hAnsi="Times New Roman;Times;Serif"/>
          <w:b w:val="false"/>
          <w:i w:val="false"/>
          <w:caps w:val="false"/>
          <w:smallCaps w:val="false"/>
          <w:sz w:val="20"/>
        </w:rPr>
        <w:t xml:space="preserve"> has served as our director and Chief Executive Officer since July 2023. He has extensive experience in finance technology, as he worked as a technician team lead in several foreign banks in Japan, including JP Morgan Chase Securities Ltd. from December 2001 to June 2003, UBS Securities Japan Ltd. from June 2003 to June 2005 and June 2006 to July 2008, and Lehman Brothers Japan Ltd. from June 2005 to June 2006. Mr. Thakur founded ANS Solves Co. Ltd., a Tokyo-based software technology company, in August 2008, and has served as its representative director since then. Prior to joining our Company, Mr. Thakur served as a Chief Technology Officer at Aikomi KK., a Japanese company providing digital therapy or challenging behavior often seen in dementia, from March 2018 to June 2019. Mr. Thakur received a bachelor’s degree in computer science from University of Calcutta in India in 1991 and a master’s degree in applied finance from Macquarie University in Australia in 2004.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Yukio Aida</w:t>
      </w:r>
      <w:r>
        <w:rPr>
          <w:rFonts w:ascii="Times New Roman;Times;Serif" w:hAnsi="Times New Roman;Times;Serif"/>
          <w:b w:val="false"/>
          <w:i w:val="false"/>
          <w:caps w:val="false"/>
          <w:smallCaps w:val="false"/>
          <w:sz w:val="20"/>
        </w:rPr>
        <w:t xml:space="preserve"> has served as our director since July 2023 and our Chief Financial Officer since September 2023. Mr. Aida has more than 30 years of experience in accounting and auditing, including Ernst and Young from October 1992 to October 2011 and Nomura Securities from July 2000 to December 2002. Mr. Aida is a founder of the Yukio Aida Certified Public Accountant Office, which he established in November 2011. Currently, Mr. Aida has served as a part-time corporate auditor at Souken Ace Co., Ltd. since June 2023. Mr. Aida graduated from the Faculty of Economics of Keio University in March 1992. Mr. Aida is currently working as the Chief Financial Officer at our Company full-time.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Arisa Koga</w:t>
      </w:r>
      <w:r>
        <w:rPr>
          <w:rFonts w:ascii="Times New Roman;Times;Serif" w:hAnsi="Times New Roman;Times;Serif"/>
          <w:b w:val="false"/>
          <w:i w:val="false"/>
          <w:caps w:val="false"/>
          <w:smallCaps w:val="false"/>
          <w:sz w:val="20"/>
        </w:rPr>
        <w:t xml:space="preserve"> has served as our director and Chief Operating Officer since July 2023. She co-founded AMICUS Co., Ltd., a Japanese Company specializing in fax service optimization, call center outsourcing services, and foreign workers’ recruitment, where she has also served as a director since December 2012. She has also been a representative director of Global Works Co., Ltd., a company specializing in inbound business solution service, hotel outsourcing services, translation and interpretation, and foreign business matching service since May 2019. Ms. Koga also has served as a non-executive director at Souken Ace Co., Ltd., a Japanese conglomerate, since June 2023. Ms. Koga obtained an associate degree in global tourism business from Seneca College in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Tomoya Suzuki</w:t>
      </w:r>
      <w:r>
        <w:rPr>
          <w:rFonts w:ascii="Times New Roman;Times;Serif" w:hAnsi="Times New Roman;Times;Serif"/>
          <w:b w:val="false"/>
          <w:i w:val="false"/>
          <w:caps w:val="false"/>
          <w:smallCaps w:val="false"/>
          <w:sz w:val="20"/>
        </w:rPr>
        <w:t xml:space="preserve"> has served as our director and Chief Technology Officer since July 2023. Prior to joining our Company, Mr. Suzuki was an independent creator focusing on animation, video, and three-dimensional production since October 2018. He obtained a bachelor’s degree in digital contents from Digital Hollywood University in Tokyo in March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Koji Aoki</w:t>
      </w:r>
      <w:r>
        <w:rPr>
          <w:rFonts w:ascii="Times New Roman;Times;Serif" w:hAnsi="Times New Roman;Times;Serif"/>
          <w:b w:val="false"/>
          <w:i w:val="false"/>
          <w:caps w:val="false"/>
          <w:smallCaps w:val="false"/>
          <w:sz w:val="20"/>
        </w:rPr>
        <w:t xml:space="preserve"> has served as our Independent Director since July 2023. Prior to joining our Company, Mr. Aoki founded water server business named “Frecious” at Mt. Fuji Spring Inc., a Japanese mineral water manufacturer and seller. He founded Active Sonar Co., Ltd., a company which operates “RECLO,” an online luxury brand name product resale platform, in September 2012, and served as its representative director until December 2021. While serving at our Company, Mr. Aoki has served as a director and executive officer at Samurai Partners Co., Ltd., where he is responsible for promotion business since January 2021. Mr. Aoki graduated from Faculty of Business Administration of Aichi University in March 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Mitsuhiro Kashimura</w:t>
      </w:r>
      <w:r>
        <w:rPr>
          <w:rFonts w:ascii="Times New Roman;Times;Serif" w:hAnsi="Times New Roman;Times;Serif"/>
          <w:b w:val="false"/>
          <w:i w:val="false"/>
          <w:caps w:val="false"/>
          <w:smallCaps w:val="false"/>
          <w:sz w:val="20"/>
        </w:rPr>
        <w:t xml:space="preserve"> has served as our statutory auditor since October 2021. Mr. Kashimura has more than 13 years of experience in tax accounting. He kickstarted his career as a tax accountant at KPMG Tax Corporation, where he worked from September 2010 to October 2016. From November 2016 to March 2019, he served as a global tax manager at MUFG Bank Ltd. (“MUFG”), where he was responsible for creating tax strategies and control tax responsibilities for the Mitsubishi UFJ Financial Group, MUFG’s parent organization. He also served as a tax accountant manager at AGS Consulting Co., Ltd. and AGS Consulting Tax Co., Ltd., tax consultancy firms in Japan, from April 2019 to July 2019 and at AGS Consulting Singapore, the Singaporean office of AGS Consulting Co., Ltd., from July 2019 to March 2021. Mr. Kashimura founded Lead &amp; Company, Inc., a Japanese company providing financial advisory services, and L&amp;C Certified Public Tax Accountant’s Office, a tax consultancy firm, in May 2021 and has served as the Chief Executive Officer and representative tax accountant since then. Mr. Kashimura obtained his bachelor’s degree in science and engineering from Tokyo University of Science in March 2009 and a master’s degree in economics from Rikkyo University in March 2018.</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Masaaki Seki</w:t>
      </w:r>
      <w:r>
        <w:rPr>
          <w:rFonts w:ascii="Times New Roman;Times;Serif" w:hAnsi="Times New Roman;Times;Serif"/>
          <w:b w:val="false"/>
          <w:i w:val="false"/>
          <w:caps w:val="false"/>
          <w:smallCaps w:val="false"/>
          <w:sz w:val="20"/>
        </w:rPr>
        <w:t xml:space="preserve"> has served as our full-time statutory auditor since June 2026. He also served as our advisor from September 2025 to June 2026. Mr. Seki has more than ten years of experience in internal auditing at securities firms. From October 2013 to December 2018, he was an executive director at Nomura Holdings, Inc. (TYO: 8604, NYSE: NMR), where he was responsible for such company’s internal audits. From January 2019 to January 2020, he was a managing director at SBI Securities, where he was responsible for global business management and the company’s internal audit. In February 2020, he joined bitFlyer, Inc., a Japanese crypto-asset exchange and financial instrument exchange operator (“bitFlyer”), and bitFlyer Holdings, Inc., a parent company of bitFlyer, where he served as their director and representative director, from February 2020 to March 2023 and April 2022 to March 2023, respectively. Mr. Seki has been a principal of Protiviti LLC, an information technology consulting, risk and compliance advisory firm since June 2023, where he is responsible for such company’s internal audits and risk management. Mr. Seki obtained a bachelor’s degree in economics from Hitotsubashi University in Tokyo, Japan in March 1982.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Masayoshi Takatsu</w:t>
      </w:r>
      <w:r>
        <w:rPr>
          <w:rFonts w:ascii="Times New Roman;Times;Serif" w:hAnsi="Times New Roman;Times;Serif"/>
          <w:b w:val="false"/>
          <w:i w:val="false"/>
          <w:caps w:val="false"/>
          <w:smallCaps w:val="false"/>
          <w:sz w:val="20"/>
        </w:rPr>
        <w:t xml:space="preserve"> has served as our statutory corporate auditor since November 2023. He became a Certified Administrative Scrivener in Japan in August 2007 and founded MB Consulting Certified Administrative Scrivener in January 2008 to provide consulting services relating to legal matters relating to franchise agreements and licensing, the application of transportation license and secondhand dealer permits, and corporate legal services. Mr. Takasu has served as the founding partner since then. Currently, he is also a partner at Brain Infinity LLC, a limited liability company providing consultation services for museums and galleries as well as legal consulting. He also has served as a non-executive director in several companies, including Souken Ace Co., Ltd., since June 2023, and SenkaQ Inc. since March 2018. Mr. Takatsu obtained a bachelor’s degree from the Faculty of Letter, Komazawa University in March 2001.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Act, compensation for our directors and corporate auditor, including bonuses, retirement allowances, and incentive stock options, must be approved at our general meeting of shareholders, unless otherwise specified in our articles of incorporation in the future. The shareholders’ approval may specify the upper limit of the aggregate amount of compensation or calculation methods, but if compensation includes benefits in kind, the shareholders’ approval must include the description of such benefits. Compensation for a director is fixed by our board of directors in accordance with our internal regulations and practice and, in the case of retirement allowances, generally reflects the position of the director at the time of retirement, length of service as a director and contribution to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we paid an aggregate of JPY47.8million (approximately $300 thousand) as compensation to our executive officers and directors, and we do not set aside or accrue any budget to provide pension, retirement, or other similar benefits to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for the fiscal year ended March 31, 2026, we paid an aggregate of JPY1.6 million (approximately $10 thousand) as compensation to our statutory auditors, and we do not set aside or accrue any budget to provide pension, retirement, or other similar benefits to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 w:name="xdx_903_eecd--ErrCompAnalysisTextBlock_c"/>
      <w:bookmarkEnd w:id="55"/>
      <w:r>
        <w:rPr>
          <w:rFonts w:ascii="Times New Roman;Times;Serif" w:hAnsi="Times New Roman;Times;Serif"/>
          <w:b w:val="false"/>
          <w:i w:val="false"/>
          <w:caps w:val="false"/>
          <w:smallCaps w:val="false"/>
          <w:sz w:val="20"/>
        </w:rPr>
        <w:t>We have adopted a compensation recovery policy to provide for the recovery of erroneously-awarded incentive compensation, as required by the Dodd-Frank Wall Street Reform and Consumer Protection Act, final SEC rules, and applicable listing standards.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our board of directors approved the issuance of stock options to purchase an aggregate of 2,268,000 Ordinary Shares. Each stock option contains the right to purchase 10 Ordinary Shares at an exercise price of JPY2,000 per stock option, equivalent to JPY200 per share, to various officers, directors, employees, consultants, and service providers of the Company to measure the cost of their services received in exchange for the share-based awards. The stock options vested on February 7, 2026 with have an expiration date of February 6, 2034. As a result, the following directors and officers have obtained the following numbers of stock options (as adjusted for the share split effective January 7, 2025): (i) Ms. Arisa Koga, 96,600 stock options, (ii) Mr. Tomoya Suzuki, 21,000 stock options, (iii) Mr. Yukio Aida 12,600, stock options, (iv) Mr. Amit Thakur, 8,400 stock options, and (v) Mr. Koji Aoki, 4,200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ultimate responsibility for the administration of our affairs. Under the Companies Act and our articles of incorporation, we are required to have no fewer than three but not more than 10 directors. Directors are elected at general meetings of shareholders. The normal term of office of any director expires at the close of the ordinary general meeting of shareholders held with respect to the last fiscal year ended within one year after such director’s election to office. Our directors may, however, serve any number of consecutive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appoints from among its members one or more representative directors who have the authority individually to represent us in the conduct of our affairs. The board of directors may appoint from among its members a president, one or more senior managing directors, and managing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six directors. Our board of directors has determined that our director, Mr. Koji Aoki, satisfies the “independence” requirements of the Nasdaq corporate governance rules and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Statutory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Companies Act, we have elected to structure our corporate governance system as a company with a separate board of corporate auditors instead of an audit committee of our board of directors. Our articles of incorporation provide for no more than four statutory auditors. Statutory auditors are typically nominated by the board of directors and are elected at general meetings of shareholders by a majority of shareholders entitled to vote, where a quorum is established by shareholders holding one-third or more of the voting rights of those who are entitled to vote are present at the shareholders’ meeting. The normal term of office of any statutory auditor expires at the close of the annual general meeting of shareholders held with respect to the last fiscal year ended within four years after such statutory auditor’s election to office. Our statutory auditors may, however, serve any number of consecutive terms. A statutory auditor may be removed by a special resolution of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statutory auditors are not required to be certified public accountants. Our statutory auditors may not concurrently serve as directors, employees, or accounting advisors (kaikei sanyo) of our Company or any of our subsidiaries or serve as corporate officers of our subsidiaries. Under the Companies Act, at least one-half of the statutory auditors of a company must be persons who satisfy the requirements for an outside statutory auditor under the Companies Act, and at least one of the statutory auditors must be a full-time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statutory auditor has a statutory duty to supervise the administration by the directors of our affairs, to examine our financial statements and business reports to be submitted by a representative director at the general meetings of shareholders, and to prepare an audit report. Our statutory auditors are obligated to participate in meetings of our board of directors and, if necessary, to express their opinion at such meetings, but are not entitled to vote. Our statutory auditors must inspect the proposals, documents, and any other materials to be submitted by our board of directors to the shareholders at the shareholders’ meeting. If a statutory auditor finds a violation of statutory regulations or our articles of incorporation, or another significant improper matter, such auditor must report those findings to the shareholders at the shareholders’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 statutory auditor believes that a director has engaged in, or is likely to engage in, misconduct or acts that are significantly improper, or that there has been a violation of statutory regulations or our articles of incorporation, the statutory auditor: (i) must report that fact to our board of directors; (ii) can demand that a director convene a meeting of our board of directors; and (iii) if no such meeting is convened in response to the demand, can convene the meeting under the statutory auditor’s own authority. If a director engages in, or is likely to engage in, an activity outside the scope of the objectives of our Company or otherwise in violation of laws or regulations or our articles of incorporation, and such act is likely to cause significant damage to our Company, then a statutory auditor can demand that the director cease such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statutory auditors has a statutory duty to prepare an audit report based on the audit reports issued by the individual statutory auditors and submit such audit reports to a relevant director and, in the case of audit reports related to financial statements, the independent auditors of our Company each year. A statutory auditor may note an opinion in an audit report issued by our board of statutory auditors, if the opinion expressed in such statutory auditor’s individual audit report is different from the opinion expressed in the audit report issued by our board of statutory auditors. Our board of statutory auditors is empowered to establish the audit principles, the method of examination by our statutory auditors of our affairs and financial position, and any other matters relating to the performance of our statutory auditors’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statutory auditors must represent our Company in: (i) any litigation between our Company and a director; (ii) dealing with shareholders’ demands seeking a director’s liability to our Company; and (iii) dealing with notices of litigation and settlement in a derivative suit seeking a director’s liability to our Company. A statutory auditor can file court actions relating to our Company within the authority of our statutory auditors, such as an action to nullify the incorporation of our Company, the issuance of shares, or a merger, or to cancel a resolution at a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of Directors and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and our articles of incorporation we may exempt, by resolution of the board of directors, our directors and statutory auditor from liabilities to us arising in connection with their failure to execute their duties in good faith and without gross negligence, within the limits stipulated by applicable laws and regulations. In addition, our articles of incorporation provide that we may enter into agreements with our directors (excluding executive directors) and statutory auditor to limit their respective liabilities to us arising in connection with a failure to execute their duties in good faith and without gross negligence to the higher of either a predetermined amount or an amount stipulated in laws and regulations. We have obtained directors and officers liability insurance, which covers expenses, capped at a certain amount, that our directors and executive officers may incur in connection with their conduct as our directors or executive officers. We have executed a customary limitation of liability agreement with one of our statutory auditors, Mr. Mitsuhiro Kashimura. We have obtained directors and officers liability insurance, which covers expenses that our directors, executive officers, and statutory auditors may incur in connection with their conduct as our directors, executive officers, or statutory auditors. The maximum payout amount of the insurance is JPY100 million, and the applicable geography is worldwide.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corporate auditors, and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 of our Ordinary Shares.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Ordinary Shares.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45,960,000 Ordinary Shares outstanding as of the date of this annual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corporate auditor, executive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are deemed to be outstanding, but are not deemed to be outstanding for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485"/>
        <w:gridCol w:w="60"/>
        <w:gridCol w:w="60"/>
        <w:gridCol w:w="1100"/>
        <w:gridCol w:w="60"/>
        <w:gridCol w:w="60"/>
        <w:gridCol w:w="77"/>
        <w:gridCol w:w="723"/>
        <w:gridCol w:w="230"/>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23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Senior Management</w:t>
            </w:r>
            <w:r>
              <w:rPr>
                <w:rFonts w:ascii="Times New Roman;Times;Serif" w:hAnsi="Times New Roman;Times;Serif"/>
                <w:b/>
                <w:position w:val="7"/>
                <w:sz w:val="16"/>
                <w:sz w:val="20"/>
              </w:rPr>
              <w:t>(1)</w:t>
            </w: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Hidetoshi Yokoyama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28,452,000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61.91</w:t>
            </w:r>
          </w:p>
        </w:tc>
        <w:tc>
          <w:tcPr>
            <w:tcW w:w="230" w:type="dxa"/>
            <w:tcBorders/>
            <w:shd w:fill="FFFFFF" w:val="clear"/>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Amit Thakur</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Yukio Aida</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Arisa Koga</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2.06</w:t>
            </w:r>
          </w:p>
        </w:tc>
        <w:tc>
          <w:tcPr>
            <w:tcW w:w="230" w:type="dxa"/>
            <w:tcBorders/>
            <w:shd w:fill="CCEEFF" w:val="clear"/>
            <w:vAlign w:val="center"/>
          </w:tcPr>
          <w:p>
            <w:pPr>
              <w:pStyle w:val="TableContents"/>
              <w:bidi w:val="0"/>
              <w:spacing w:before="0" w:after="283"/>
              <w:jc w:val="left"/>
              <w:rPr/>
            </w:pPr>
            <w:r>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Tomoya Suzuki</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Koji Aoki</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Mitsuhiro Kashimura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Masaaki Seki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Masayoshi Takatsu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b/>
              </w:rPr>
            </w:pPr>
            <w:r>
              <w:rPr>
                <w:b/>
              </w:rPr>
              <w:t>All directors and senior management as a group (9 individuals):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29,880,000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63.05</w:t>
            </w:r>
          </w:p>
        </w:tc>
        <w:tc>
          <w:tcPr>
            <w:tcW w:w="230" w:type="dxa"/>
            <w:tcBorders/>
            <w:shd w:fill="CCEEFF" w:val="clear"/>
            <w:vAlign w:val="center"/>
          </w:tcPr>
          <w:p>
            <w:pPr>
              <w:pStyle w:val="TableContents"/>
              <w:bidi w:val="0"/>
              <w:spacing w:before="0" w:after="283"/>
              <w:jc w:val="left"/>
              <w:rPr/>
            </w:pPr>
            <w:r>
              <w:rPr/>
              <w:t>%</w:t>
            </w:r>
          </w:p>
        </w:tc>
      </w:tr>
      <w:tr>
        <w:trPr/>
        <w:tc>
          <w:tcPr>
            <w:tcW w:w="6485" w:type="dxa"/>
            <w:tcBorders/>
            <w:shd w:fill="FFFFFF" w:val="clear"/>
            <w:vAlign w:val="center"/>
          </w:tcPr>
          <w:p>
            <w:pPr>
              <w:pStyle w:val="TableContents"/>
              <w:bidi w:val="0"/>
              <w:spacing w:before="0" w:after="283"/>
              <w:jc w:val="left"/>
              <w:rPr>
                <w:b/>
              </w:rPr>
            </w:pPr>
            <w:r>
              <w:rPr>
                <w:b/>
              </w:rPr>
              <w:t>5%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Hidetoshi Yokoyama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28,452,000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61.91</w:t>
            </w:r>
          </w:p>
        </w:tc>
        <w:tc>
          <w:tcPr>
            <w:tcW w:w="230" w:type="dxa"/>
            <w:tcBorders/>
            <w:shd w:fill="CCEEFF" w:val="clear"/>
            <w:vAlign w:val="center"/>
          </w:tcPr>
          <w:p>
            <w:pPr>
              <w:pStyle w:val="TableContents"/>
              <w:bidi w:val="0"/>
              <w:spacing w:before="0" w:after="283"/>
              <w:jc w:val="left"/>
              <w:rPr/>
            </w:pPr>
            <w:r>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Stella MIC Investment Ltd.</w:t>
            </w:r>
            <w:r>
              <w:rPr>
                <w:rFonts w:ascii="Times New Roman;Times;Serif" w:hAnsi="Times New Roman;Times;Serif"/>
                <w:position w:val="7"/>
                <w:sz w:val="16"/>
                <w:sz w:val="20"/>
              </w:rPr>
              <w:t>( 7)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5.22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less than 1%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business address of each of the individuals is Le Gratteciel Building 2, 6th Floor 5-22-6 Shimbashi, Minato Ward, Tokyo, 105-0004, Japan.</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Mr. Amit Thakur reflects 84,000 Ordinary Shares that may be issued upon exercise of stock options held by Mr. Thakur.   </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Mr. Yukio Aida reflects 126,000 Ordinary Shares that may be issued upon exercise of stock options held by Mr. Aida.</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Ms. Arisa Koga reflects 966,000 Ordinary Shares that may be issued upon exercise of stock options held by Ms. Koga.</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Mr. Tomoya Suzuki reflects 210,000 Ordinary Shares that may be issued upon exercise of stock options held by Mr. Suzuki.</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Mr. Koji Aoki reflects 42,000 Ordinary Shares that may be issued upon exercise of stock options held by Mr. Aoki.</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2,400,000 Ordinary Shares held by Stella MIC Investment Ltd., a Micronesian company. Takumi Sawa serves as a representative director. The registered address of Stella MIC Investment Ltd. is VB Center, Suite 2A, Pohn Umpomp Place, Nett, Pohnpei 96941, Federated States of Micronesia.</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5,550,000 of our Ordinary Shares are held by one holder of record in the United States, which is The Bank of New York Mellon, the depositary for our ADSs. None of the Company’s major shareholders have any different or special voting rights with respect to their Ordinary Shares. 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Disclosure of a Registrant’s Action to Recover Erroneously Awarded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sh_010"/>
      <w:bookmarkEnd w:id="56"/>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parties that had material balances and transactions as of and for the fiscal years ended March 31, 2026, 2025 and 2024 consist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41"/>
        <w:gridCol w:w="60"/>
        <w:gridCol w:w="8604"/>
      </w:tblGrid>
      <w:tr>
        <w:trPr/>
        <w:tc>
          <w:tcPr>
            <w:tcW w:w="1541"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Related Party</w:t>
            </w:r>
          </w:p>
        </w:tc>
        <w:tc>
          <w:tcPr>
            <w:tcW w:w="60" w:type="dxa"/>
            <w:tcBorders/>
            <w:tcMar>
              <w:bottom w:w="0" w:type="dxa"/>
            </w:tcMar>
            <w:vAlign w:val="center"/>
          </w:tcPr>
          <w:p>
            <w:pPr>
              <w:pStyle w:val="TableContents"/>
              <w:bidi w:val="0"/>
              <w:spacing w:before="0" w:after="283"/>
              <w:jc w:val="left"/>
              <w:rPr/>
            </w:pPr>
            <w:r>
              <w:rPr/>
              <w:t> </w:t>
            </w:r>
          </w:p>
        </w:tc>
        <w:tc>
          <w:tcPr>
            <w:tcW w:w="8604"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Nature of Relationship </w:t>
            </w:r>
          </w:p>
        </w:tc>
      </w:tr>
      <w:tr>
        <w:trPr/>
        <w:tc>
          <w:tcPr>
            <w:tcW w:w="154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Clustar,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controlled by Mr. Teppei Shinkawa*, the Company’s former director and Chief Financial Officer during the fiscal year ended March 31, 2024</w:t>
            </w:r>
          </w:p>
        </w:tc>
      </w:tr>
      <w:tr>
        <w:trPr/>
        <w:tc>
          <w:tcPr>
            <w:tcW w:w="154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Samulion Factory,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controlled by Mr. Teppei Shinkawa, the Company’s former director and Chief Financial Officer during the fiscal year ended March 31, 2024</w:t>
            </w:r>
          </w:p>
        </w:tc>
      </w:tr>
      <w:tr>
        <w:trPr/>
        <w:tc>
          <w:tcPr>
            <w:tcW w:w="154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Chairman, and the former Chief Executive Officer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Mr. Teppei Shinkawa resigned in September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during the fiscal years ended March 31, 2026, 2025, and 2024 and up to the date of this annual report, the Company was involved in certain transactions, either at cost or current market prices, and on normal commercial terms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related party balances as of the date of this annual report and March 31, 2025,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5"/>
        <w:gridCol w:w="60"/>
        <w:gridCol w:w="3642"/>
        <w:gridCol w:w="60"/>
        <w:gridCol w:w="488"/>
        <w:gridCol w:w="2128"/>
        <w:gridCol w:w="60"/>
        <w:gridCol w:w="60"/>
        <w:gridCol w:w="82"/>
        <w:gridCol w:w="358"/>
        <w:gridCol w:w="60"/>
        <w:gridCol w:w="60"/>
        <w:gridCol w:w="82"/>
        <w:gridCol w:w="358"/>
        <w:gridCol w:w="60"/>
        <w:gridCol w:w="60"/>
        <w:gridCol w:w="60"/>
        <w:gridCol w:w="485"/>
        <w:gridCol w:w="77"/>
      </w:tblGrid>
      <w:tr>
        <w:trPr/>
        <w:tc>
          <w:tcPr>
            <w:tcW w:w="1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JPY in thousands</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4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transactions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the date of this annual report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payment made on behalf by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related party transactions during the years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3"/>
        <w:gridCol w:w="60"/>
        <w:gridCol w:w="2465"/>
        <w:gridCol w:w="60"/>
        <w:gridCol w:w="185"/>
        <w:gridCol w:w="376"/>
        <w:gridCol w:w="86"/>
        <w:gridCol w:w="86"/>
        <w:gridCol w:w="185"/>
        <w:gridCol w:w="376"/>
        <w:gridCol w:w="86"/>
        <w:gridCol w:w="86"/>
        <w:gridCol w:w="180"/>
        <w:gridCol w:w="702"/>
        <w:gridCol w:w="79"/>
      </w:tblGrid>
      <w:tr>
        <w:trPr/>
        <w:tc>
          <w:tcPr>
            <w:tcW w:w="519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March 31,</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 Expenses with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Clustar,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Samulion Factory,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consulting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 had no 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related party transactions from April 1, 2026 through June 30, 2026, and the Company had no outstanding balances with related parties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from Mr. Hidetoshi Yokoyama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2025, the Company executed a loan agreement with Mr. Hidetoshi Yokoyama for the principal amount of JPY46,618 thousand from Mr. Yokoyama during the period of May 26, 2025 to July 16, 2025. The loan was unsecured, has an interest rate of 0.9% per annum, and is due for repayment by July 31, 2025. Proceeds of the loan were used for working capital and other general corporate purposes, the loan was fully repaid on July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Interests of Experts and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h_011"/>
      <w:bookmarkEnd w:id="57"/>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arising in the ordinary course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2023, ZESTO Consulting LLC, a Japanese limited liability company (“Zesto”), filed a complaint against us at Tokyo District Court for unpaid compensation and damages totaling JPY21.77 million (approximately $145,000) under the system development outsourcing agreement between us and Zesto. On December 13, 2024, the Tokyo District Court ruled against us, holding us liable for unpaid service fees totaling JPY19.47 million, with interest accruing at a rate of 3%. On December 17, 2025, the appellate court issued a judgment requiring us to pay the aggregate amount of JPY20.39 million, which amount includes additional amounts not awarded in the initial judgment, plus interest. Interest was calculated at rates of 3% and 14.6% per annum on specified portions of the judgment. The Company filed an appeal to Supreme Court of Japan in January 2026, but the Supreme Court dismissed the appeal in June 2026. As of the date of this annual report, we have already completed the payment in full, including any applicable late payment penalties, and there is no outstanding balance related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we were served with a complaint by FOOT PRINT Co., Ltd. demanding unpaid service fees under an advertising services agreement of JPY1.20 million. Subsequently, we entered into a court-mediated settlement agreement on February 3, 2026. Pursuant to the settlement, we agreed to pay approximately JPY1.10 million in full to FOOT PRINT Co., Ltd.. Upon payment in February 2026, the parties agreed to withdraw all related claims and no further obligations remain between them. As of the date of this annual report, there is no outstanding balance related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plaintiffs Patrick Shane Johnson, Jack Pena, and Hitesh Dev (collectively, “Plaintiffs”) filed a putative civil class action complaint before the Supreme Court of the State of New York, New York County (the “New York Court”), requesting judicial intervention. Plaintiffs, for themselves and others similarly situated, assert claims against approximately 47 issuers (including the Company), as well as a large number of underwriters and individuals. Although none of the named Plaintiffs are alleged to be current or former shareholders of the Company, Plaintiffs assert claims against the defendants for violations of Sections 11 and 12 of the Securities Act of 1933 arising from alleged material misrepresentations or omissions in the registration statements or prospectuses issued in connection with the defendants’ initial public offerings. In the complaint, Plaintiffs do not make Company-specific allegations but broadly allege that defendants failed to disclose their shares were susceptible to pump-and-dump schemes that allegedly occurred. The Request for Judicial Intervention filed by Plaintiffs was returned for correction by the New York Court. Plaintiffs have not yet filed a document correcting the filing. On May 21, 2026, Plaintiffs filed a Notice of Discontinuance and Stipulation of Discontinuance regarding defendants Jason Lewis Sands and Titan Partners, and Bancroft Capital, LLC and Cauldon Dean Quinn, respectively. Both the Notice of Discontinuance and Stipulation of Discontinuance were returned by the New York Court for correction. Plaintiffs have not yet filed a document correcting those filings. Since May 21, 2026, and as of the date of this annual report, there has been no further activity in the matter involving the Company, nor, to the Company’s knowledge, has there been any formal investigation or regulatory inquiry involving the Company or its officers with respect to this complaint.  The Company has not yet been formally served with the summons and complaint filed in the action. Should the case proceed, the Company believes the claims asserted against it are legally defective and without merit, and the Company intends to vigorously defend the 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declared or paid cash dividends on our Ordinary Shares. Any decision to pay dividends in the future will be subject to a number of factors, including our financial condition, results of operations, the amount of our retained earnings, capital demands, general business conditions, and other factors our board of directors may deem relevant. Consequently, we cannot give any assurance that any dividends may be declared and paid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declared, holders of our outstanding shares on a dividend record date will be entitled to the full dividend declared without regard to the date of issuance of the shares or any subsequent transfer of the shares. Payment of declared annual dividends in respect of a particular year, if any, will be made in the following year after approval by our shareholders at the annual general meeting of shareholders, subject to certain provisions of our articles of incorporation and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deposit agreement for the ADSs, investors will be entitled to receive dividends on our Ordinary Shares represented by ADSs to the same extent as the holders of our Ordinary Shares, less the fees and expenses payable under the deposit agreement in respect of, and any Japanese tax applicable to, such dividends. See “</w:t>
      </w:r>
      <w:r>
        <w:rPr>
          <w:rFonts w:ascii="Times New Roman;Times;Serif" w:hAnsi="Times New Roman;Times;Serif"/>
          <w:b w:val="false"/>
          <w:i w:val="false"/>
          <w:caps w:val="false"/>
          <w:smallCaps w:val="false"/>
          <w:sz w:val="20"/>
          <w:shd w:fill="FFFFFF" w:val="clear"/>
        </w:rPr>
        <w:t>Item 10. Additional Information—E. Taxation—</w:t>
      </w:r>
      <w:r>
        <w:rPr>
          <w:rFonts w:ascii="Times New Roman;Times;Serif" w:hAnsi="Times New Roman;Times;Serif"/>
          <w:b w:val="false"/>
          <w:i w:val="false"/>
          <w:caps w:val="false"/>
          <w:smallCaps w:val="false"/>
          <w:sz w:val="20"/>
        </w:rPr>
        <w:t>Material Income Tax Considerations — Japanese Taxation” and “Description of American Depositary Shares” in Exhibit 2.3. The depositary will generally convert JPY it receives into U.S. dollars and distribute the U.S. dollar amounts to holders of ADSs. Cash dividends on our Ordinary Shares, if any, will be paid in JPY.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h_012"/>
      <w:bookmarkEnd w:id="58"/>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symbol “LAWR.” Each ADS represents one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symbol “LAWR.” Each ADS represents one Common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sh_013"/>
      <w:bookmarkEnd w:id="59"/>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as currently in effect are included as Exhibit 1.1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annual report the description of certain key provisions of our articles of incorporation as currently in effect, which is filed as Exhibit 2.3 to this annual report, and the description of differences in corporate laws contained in our registration statement on Form F-1(File No. 333- 284875), as amended, initially filed with the SEC on February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two years immediately preceding the date of this annual report, 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Japanese Foreign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Regulations govern certain aspects, in particular, relating to the acquisition and holding of our Ordinary Shares by “exchange non-residents” and by “foreign investors” (each as defined below). However, in general, the Foreign Exchange Regulations currently in effect do not affect transactions between exchange non-residents for the purchase or sale of shares outside Japan using currencies other than Japanese yen.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residents” are defined in the Foreign Exchange Regulations as:</w:t>
      </w:r>
    </w:p>
    <w:p>
      <w:pPr>
        <w:pStyle w:val="TextBody"/>
        <w:bidi w:val="0"/>
        <w:spacing w:before="0" w:after="0"/>
        <w:ind w:left="0" w:right="0" w:firstLine="48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260"/>
        <w:gridCol w:w="50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having domicile or residence within Japan;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whose principal offices are located within Japan.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non-residents” are defined in the Foreign Exchange Regulations as any individuals or corporations other than exchange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branches and other offices of non-resident corporations that are located within Japan are regarded as exchange residents. Conversely, branches and other offices of Japanese corporations located outside Japan are regarded as exchange non-residents.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investors” are defined in the Foreign Exchange Regulations as: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who are exchange non-residents;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or other entities that are organized under the laws of foreign countries or whose principal offices are located outside Japan (excluding partnerships falling within (iv)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of which 50% or more of the total voting rights are held, directly or indirectly, by individuals and/or corporations falling within (i) and/or (ii) above;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partnerships under the Civil Code of Japan (Act No. 89 of 1896, as amended) established to invest in corporations, limited partnerships for investment under the Limited Partnership Act for Investment of Japan (Act No. 90 of 1998, as amended), or any other similar partnerships under the laws of foreign countries, where either (a) 50% or more of the total contributions are made by exchange non-residents or certain other foreign investors prescribed by the Foreign Exchange Regulations or (b) a majority of the general partners who are delegated to execute the business of such general partnerships, general partners of such limited partnerships or other similar partners of the other similar partnerships are exchange non-residents or certain other foreign investors prescribed by the Foreign Exchange Regulations;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or other entities of which a majority of either (i) directors or other officers (including those who have the same degree or more control over such corporations or such other entities as directors or other officers) or (ii) directors or other officers (including those who have the same degree or more control over such corporations or such other entities as directors or other officers) having the power of representation are individuals who are exchange non-residents.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acquisition by an exchange non-resident of shares of a Japanese corporation, such as our Ordinary Shares, is not subject to any prior filing requirements. However, in the case where such acquisition constitutes an IDI, the exchange non-resident may be required to file a prior notification (see “Prior Notification Requirements on Inward Direct Investment in Shares of Non-Listed Corporations” below). Also, in the case where an exchange resident transfers shares of a Japanese corporation, such as our Ordinary Shares, for consideration exceeding ¥100 million, to an exchange non-resident, the exchange resident who transfers the shares is required to report the transfer to the Minister of Finance within 20 days from the later of (a) the date of the transfer or (b) the date of payment for the transfer, unless (i) the transfer was made through a bank or financial instruments business operator registered under the Financial Instruments and Exchange Act of Japan (Act No. 25 of 1948, as amended), or the FIEA acting as an agent or intermediary or (ii) the transfer constitutes an IDI.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 Notification Requirements on Inward Direct Investment in Shares of Corporations Not Listed on a Japanese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investor acquires shares of a Japanese corporation that is not listed on any Japanese stock exchange, such as our Ordinary Shares, such acquisition constitutes an IDI. In general, any foreign investor intending to make an IDI in a Japanese corporation which is (whether itself or any of its subsidiaries or certain related corporations in Japan) engaged in the Designated Business Sectors (in which our business sectors are currently included) must, except where any of certain exemptions applies, file a prior notification of the acquisition with the Ministers.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prior notification is filed, the proposed acquisition may not be consummated until 30 days have passed from the date of the filing, although this period may be shortened up to five business days, if the proposed acquisition is determined not to raise concerns from a perspective of national security or certain other factors. On the other hand, if any concerns are recognized in the proposed acquisition from a perspective of national security or certain other factors, the Minister may extend such period up to five months to ensure the time for examination. The Ministers may recommend any modification or abandonment of the proposed acquisition and, if such recommendation is not accepted by the acquiring investor, they may order the modification or abandonment of such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one or more our Ordinary Shares by a foreign investor from other foreign investor is also subject to similar prior notification requirements. Acquisitions of shares by foreign investors by way of stock split are not subject to the prior notification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Exemption for Prior Notification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Exchange Regulations, in the case of an acquisition of shares, any foreign investors which fall under the definition of foreign financial institutions, or the “Foreign Financial Institutions,” will be exempted from the prior notification requirements without any upper limit on the number of shares to be acquired or held, on condition that they comply with the following exemption conditions, or the “Common Exemption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“Common Exemption Conditions” are set out in the relevant public notice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or their related persons are not to become directors or corporate auditor and supervisory board members of the investee corporation or its certain related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will not propose by themselves or through other shareholders to the general meeting of shareholders certain matters such as the transfer or disposition of the investee corporation’s business activities in the Designated Business Sectors;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will not access non-public information about the investee corporation’s or its certain related corporation’s technology in relation to business activities in the Designated Business Sectors.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Exchange Regulations, any foreign investors (other than the Foreign Financial Institutions), excluding disqualified investors such as those with a record of sanctions for violation of the FEFTA and state-owned enterprises (except those who are accredited by the authorities), or “Eligible Foreign Investors,” will also be exempted from the prior notification requirements without any upper limit on the number of shares or voting rights to be acquired or held, on condition that they comply with the Common Exemption Conditions, unless the investment intended to be conducted by them constitutes an IDI in a Japanese corporation engaging, or a Japanese corporation which subsidiary or certain related corporation is engaging, in certain types of the Designated Business Sectors designated under the Foreign Exchange Regulations and the relevant public notice as being a substantial threat to national security (Core-Gyoshu) (in which our business sectors are currently not included), or the “Core Sectors.” On the other hand, Eligible Foreign Investors who intend to invest in a Japanese corporation engaging, or a Japanese corporation which subsidiary or certain related corporation is engaging, in the Core Sectors will be exempted from the prior notification requirements, on condition that they comply with the following additional exemption conditions, or the “Additional Exemption Conditions,” as well as the Common Exemption Conditions, unless and until such investment results in holdings of 10% or more of the total issued shares or the total voting rights of the relevant Japanese corporation.</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general, “Additional Exemption Conditions” are set out in the relevant public notice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business activities in the Core Sectors, foreign investors will not attend or cause their designated persons to attend the board of directors, executive board or other committees of the investee corporation or its certain related corporation that make important decisions on these activities;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business activities in the Core Sectors, foreign investors will not make proposals by themselves or through their designated persons, in written form, to (a) the board of directors, executive board or other committees of the investee corporation or its certain related corporation that make important decisions on these activities or (b) the members of such board or committees, requesting responses and/or actions by certain deadlines.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at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acquisition of shares mentioned above, if a foreign investor who holds one or more voting rights of a Japanese corporation that engages in the Designated Business Sectors intends to consent, at the general meeting of shareholders, to certain proposals having material influence on the management of such corporation, such as (i) election of such foreign investor or its related persons as directors or audit and supervisory board members of the investee corporation or (ii) transfer or discontinuation of its business activities in the Designated Business Sectors, such consent also constitutes an IDI which generally requires the filing of a prior notification with the Ministers; provided, however, that in the case of proposal (ii), the prior notification is required only where such proposal is made by such foreign investor by itself or through other shareholders. In such cases, the exemptions from the prior notification requirements described in “Exemption for Prior Notification Requirements” above are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 Investment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prior notifications, under the Foreign Exchange Regulations, foreign investors conducting IDIs may be required to submit post investment reports to the Ministers within 45 days from the transaction settlement date, once the IDIs for which prior notifications have been filed are actually made, or even if such IDIs are not subject to the prior notification requirements or are exempted from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of shares by foreign investors by way of stock split are not subject to the post investment report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Proceeds from Sales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Exchange Regulations, dividends paid on and the proceeds from sales in Japan of our Ordinary Shares held by exchange non-residents may generally be converted into any foreign currency and repatriated abroad. However, under the Foreign Exchange Regulations, certain procedures may be required for the transfer of funds out of Japan or such transfer of funds may be prohibited, depending on the location of the recipient, the purpose of such fund transfer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ADSs, Surrender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acquisition of ADSs, the Minister of Finance has expressed its view that, provided that it should be judged in accordance with the actual situation on a case-by-case basis, in general, in the case where a Japanese company that is not listed on any Japanese stock exchange, such as us, lists depositary receipts issued by a foreign depository bank backed by the shares of such Japanese corporation on any foreign stock exchange, it is considered that, while such a foreign depositary bank may need to submit a prior notification of IDI upon acquiring the shares, non-residents or foreign corporations that acquire such depositary receipts do not need to submit any prior notification of IDI, because the foreign depositary bank that will acquire the shares of such Japanese corporation is required to submit a prior notification. As such, the depositary has already submitted a prior notification and obtained clearance from the Minister of Finance. However, there is no guarantee that the Minister of Finance will maintain this view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that intend to surrender the ADSs and thereby acquire the underlying our Ordinary Shares will be required to submit a prior notification to the Ministers.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above is not exhaustive of all possible foreign exchange controls considerations that may apply to a particular investor, and potential investors are advised to satisfy themselves as to the overall foreign exchange controls consequences of the acquisition, ownership, and disposition of the ADSs and our Ordinary Shares by consulting their own advisors.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Japanese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the principal Japanese tax consequences (limited to national tax) to owners of our Ordinary Shares, in the form of Ordinary Shares or ADSs, who are non-resident individuals of Japan or who are non-Japanese corporations without a permanent establishment in Japan, collectively referred to in this section as non-resident holders. The statements below regarding Japanese tax laws are based on the laws and treaties in force and as interpreted by the Japanese tax authorities as of the date of this annual report, and are subject to changes in applicable Japanese laws, tax treaties, conventions or agreements, or in the interpretation of them, occurring after that date. This summary is not exhaustive of all possible tax considerations that may apply to a particular investor, and potential investors are advised to satisfy themselves as to the overall tax consequences of the acquisition, ownership and disposition of our Ordinary Shares, including, specifically, the tax consequences under Japanese law, under the laws of the jurisdiction of which they are resident and under any tax treaty, convention or agreement between Japan and their country of residence, by consulting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Japanese tax law and the tax treaty between the United States and Japan, a U.S. holder of ADSs will generally be treated as the owner of the Ordinary Shares underlying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non-resident holder of Ordinary Shares or ADSs will be subject to Japanese income tax collected by way of withholding on any dividends (meaning in this section distributions made from our retained earnings for the Companies Act purposes) we pay with respect to our Ordinary Shares and such tax will be withheld prior to payment of dividends. Share splits generally are not subject to Japanese income or corporation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any applicable tax treaty, convention or agreement reducing the maximum rate of Japanese withholding tax or allowing exemption from Japanese withholding tax, the rate of the Japanese withholding tax applicable to dividends paid by Japanese corporations on their Ordinary Shares to non-resident holders is generally 20.42% (or 20% for dividends due and payable on or after January 1, 2038) under Japanese tax law. However, with respect to dividends paid on listed shares issued by a Japanese corporation (such as Ordinary Shares or ADSs) to non-resident holders, other than any individual shareholder who holds 3% or more of the total number of shares issued by the relevant Japanese corporation (to whom the aforementioned withholding tax rate will still apply), the aforementioned withholding tax rate is reduced to (i) 15.315% for dividends due and payable up to and including December 31, 2037 and (ii) 15% for dividends due and payable on or after January 1, 2038. The withholding tax rates described above include the special reconstruction surtax (2.1% multiplied by the original applicable withholding tax rate, i.e., 15% or 20%, as the case may be), which is imposed during the period from and including January 1, 2013 to and including December 31, 2037, to fund the reconstruction from the Great East Japan Earthquake.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distributions were made from our capital surplus, rather than retained earnings, for the Companies Act purposes, the portion of such distributions in excess of the amount corresponding to a pro rata portion of return of capital as determined under Japanese tax laws would be deemed dividends for Japanese tax purposes, while the rest would be treated as return of capital for Japanese tax purposes. The deemed dividend portion, if any, would generally be subject to the same tax treatment as dividends as described above, and the return of capital portion would generally be treated as proceeds derived from the sale of Ordinary Shares and subject to the same tax treatment as sale of our Ordinary Shares as described below. Distributions made in consideration of repurchase by us of our own shares or in connection with certain reorganization transactions will, in general, be treated substantially in the same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has income tax treaties whereby the withholding tax rate (including the special reconstruction surtax) may be reduced, generally to 15%, for portfolio investors, with, among others, Canada, Denmark, Finland, Germany, Ireland, Italy, Luxembourg, New Zealand, Norway and Singapore, while the income tax treaties with, among others, Australia, Belgium, France, Hong Kong, the Netherlands, Portugal, Sweden, Switzerland, the United Kingdom and the United States generally reduce the withholding tax rate to 10% for portfolio investors and the income tax treaties with, among others, Spain, generally reduce the withholding tax rate to 5% for portfolio investors. In addition, under the income tax treaty between Japan and the United States, dividends paid to pension funds which are qualified U.S. residents eligible to enjoy treaty benefits are exempt from Japanese income taxation by way of withholding or otherwise unless the dividends are derived from the carrying on of a business, directly or indirectly, by the pension funds. Similar treatment is applicable to dividends paid to pension funds under the income tax treaties between Japan and, among others, Belgium, Denmark, Spain, the United Kingdom, the Netherlands and Switzerland. Under Japanese tax law, any reduced maximum rate applicable under a tax treaty shall be available when such maximum rate is below the rate otherwise applicable under the Japanese tax law referred to in the second preceding paragraph with respect to the dividends to be paid by us on our Ordinary Shares or the ADSs.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 holders of our Ordinary Shares or the ADSs who are entitled under an applicable tax treaty to a reduced rate of, or exemption from, Japanese withholding tax on any dividends on our Ordinary Shares or the ADSs, in general, are required to submit, through the withholding agent to the relevant tax authority prior to the payment of dividends, an Application Form for Income Tax Convention regarding Relief from Japanese Income Tax and Special Income Tax for Reconstruction on Dividends together with any required forms and documents. A standing proxy for a non-resident holder of our Ordinary Shares or the ADSs may be used in order to submit the application on a non-resident holder’s behalf. In this regard, a certain simplified special filing procedure is available for non-resident holders to claim treaty benefits of reduction of or exemption from Japanese withholding tax, by submitting a Special Application Form for Income Tax Convention regarding Relief from Japanese Income Tax and Special Income Tax for Reconstruction on Dividends of Listed Stocks, together with any required forms and documents. If the depositary needs investigation to identify whether any non-resident holders of ADSs are entitled to claim treaty benefits of exemption from or reduction of Japanese withholding tax the depositary or its agent is required to submit an application form before payment of dividends so that the withholding cannot be made in connection with such holders for eight months after the record date concerning such payment of dividends. If it is proved that such holders are entitled to claim treaty benefits of exemption from or reduction of Japanese withholding tax within the foregoing eight-month period, the depositary or its agent is required to submit another application form together with certain other documents so that such holder can claim exemption from or reduction of Japanese withholding tax. To claim this reduced rate or exemption, such non-resident holder of ADSs will be required to file a proof of taxpayer status, residence and beneficial ownership, as applicable, and to provide other information or documents as may be required by the depositary. Non-resident holders who are entitled, under any applicable tax treaty, to a reduced rate of Japanese withholding tax below the rate otherwise applicable under Japanese tax law, or exemption therefrom, as the case may be, but fail to submit the required application in advance may nevertheless be entitled to claim a refund from the relevant Japanese tax authority of withholding taxes withheld in excess of the rate under an applicable tax treaty (if such non-resident holders are entitled to a reduced treaty rate under the applicable tax treaty) or the full amount of tax withheld (if such non-resident holders are entitled to an exemption under the applicable tax treaty), as the case may be, by complying with a certain subsequent filing procedure. We do not assume any responsibility to ensure withholding at the reduced treaty rate, or exemption therefrom, for shareholders who would be eligible under an applicable tax treaty but who do not follow the required procedures as stated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derived from the sale of Ordinary Shares or ADSs outside Japan by a non-resident holder that is a portfolio investor will generally not be subject to Japanese income or corporation taxes. Japanese inheritance and gift taxes, at progressive rates, may be payable by an individual who has acquired Ordinary Shares or the ADSs from another individual as a legatee, heir, or donee, even if none of the acquiring individual, the decedent, or the donor is a Japanese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URGE POTENTIAL PURCHASERS OF THE ADSS OR OUR ORDINARY SHARES TO CONSULT THEIR OWN TAX ADVISORS CONCERNING THE U.S. FEDERAL, STATE, LOCAL, AND NON-U.S. TAX CONSEQUENCES OF PURCHASING, OWNING, AND DISPOSING OF THE ADSS OR OUR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does not address the tax consequences to any particular investor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elect to mark their securities to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 or former long-term residents of the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Ordinary Shares or the ADSs as part of a straddle, hedging, conversion or integrated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10% or more of our voting power or value (including by reason of owning our Ordinary Shares or the ADSs);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our Ordinary Shares or the ADSs pursuant to the exercise of any employee share option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Ordinary Shares or the ADSs through partnerships or other pass-through entities;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beneficiaries of a Trust holding our Ordinary Shares or the ADSs;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Ordinary Shares or the ADSs through a trust.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below is addressed only to U.S. Holders (defined below) that purchase Ordinary Shares or ADSs. Prospective purchasers are urged to consult their own tax advisors about the application of the U.S. federal income tax rules to their particular circumstances as well as the state, local, foreign and other tax consequences to them of the purchase, ownership and disposition of our Ordinary Shares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Tax Consequences Applicable to U.S. Holders of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material U.S. federal income tax consequences related to the ownership and disposition of the ADSs or our Ordinary Shares. This description does not deal with all possible tax consequences relating to ownership and disposition of the ADSs or our Ordinary Shares or U.S. tax laws, other than the U.S. federal income tax laws, such as the tax consequences under non-U.S. tax laws, state, local, and other tax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that hold ADSs or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and the income tax treaty between the United States and Japan (the “Tax Convention”).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ADSs or Ordinary Shares and you are,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organized under the laws of the United States, any state thereof or the District of Columbia;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taxation regardless of its source;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United States federal income tax purposes) is a beneficial owner of the ADSs or our Ordinary Shares, the tax treatment of a partner in the partnership will depend upon the status of the partner and the activities of the partnership. Partnerships and partners of a partnership holding the ADSs or our Ordinary Shares are urged to consult their tax advisors regarding an investment in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U.S. for federal income tax purposes if he or she meets either the “Green Card Test” or the “Substantial Presence Test”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Presence Test: If an alien is present in the United States on at least 31 days of the current calendar year, he or she will (absent an applicable exception) be classified as a resident alien if the sum of the following equals 183 days or more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§7701(b)(3)(A) of the Internal Revenue Code and related Treasury Regulations):</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215"/>
        <w:gridCol w:w="7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days in the United States in the current year; plus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One-third of his or her days in the United States in the immediately preceding year; plus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One-sixth of his or her days in the United States in the second preceding year.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in part, upon the representations made by the depositary to us and assumes that the deposit agreement for the ADSs, and all other related agreements, will be performed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of ADSs generally will be treated for U.S. federal income tax purposes as holding our Ordinary Shares represented by the ADSs. No gain or loss will be recognized on an exchange of our Ordinary Shares for ADSs or an exchange of ADSs for our Ordinary Shares if the depositary has not taken any action inconsistent with the material terms of the deposit agreement for the ADSs or the U.S. Holder’s ownership of the underlying Ordinary Shares. A U.S. Holder’s tax basis in the Ordinary Shares received in exchange for ADSs will be the same as its tax basis in the ADSs, and the holding period in the shares will include the holding period in the ADSs.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application of the PFIC rules discussed below, a U.S. Holder generally will recognize ordinary dividend income in an amount equal to the amount of any cash and the value of any property we distribute as a distribution with respect to the U.S. Holder’s Ordinary Shares (or ADSs), to the extent that the distribution is paid out of our current or accumulated earnings and profits, as determined under U.S. federal income tax principles, when the distribution is received (or when received by the depositary in the case of ADSs). We do not intend to maintain calculations of earnings and profits under U.S. federal income tax principles. Therefore, a U.S. Holder should expect that distributions paid with respect to our Ordinary Shares or the ADSs generally will be treated as dividends. Dividends will not be eligible for the dividends received deduction generally allowable to U.S. corporations. Dividends paid on our Ordinary Shares or the ADSs will be treated as “qualified dividends” taxable at preferential rates, if (i) we are eligible for the benefits of a comprehensive income tax treaty with the United States that the IRS has approved for the purposes of the qualified dividend rules, (ii) we were not, in the year prior to the year in which the dividend was paid, and are not, in the year in which the dividend is paid, a PFIC, and (iii) the U.S. Holder satisfies certain holding period and other requirements. The Tax Convention has been approved for the purposes of the qualified dividend rules and we believe we will be eligible for the benefits of the Tax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income will include any amounts withheld in respect of Japanese taxes, and will be treated as foreign-source income for foreign tax credit purposes. Subject to applicable limitations, some of which vary depending upon the U.S. Holder’s circumstances, Japanese taxes withheld from dividends on our Ordinary Shares or the ADSs generally will be creditable against the U.S. Holder’s U.S. federal income tax liability to the extent such taxes do not exceed any reduced withholding rate available under the Tax Convention. The rules governing foreign tax credits are complex, and U.S. Holders should consult their tax advisors regarding the creditability of foreign taxes in their particular circumstances. In lieu of claiming a foreign tax credit, a U.S. Holder may, at its election, deduct creditable foreign taxes, including Japanese taxes, in computing its taxable income, subject to applicable limitations. An election to deduct foreign taxes instead of claiming foreign tax credits applies to all foreign taxes paid or accrued by the U.S. Holder in the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a currency other than U.S. dollars will be includable in income in a U.S. dollar amount based on the exchange rate in effect on the date of receipt (or the date of the depositary’s receipt in the case of ADSs), whether or not the payment is converted into U.S. dollars at that time. A U.S. Holder should not recognize any foreign currency gain or loss in respect of the distribution if the foreign currency is converted into U.S. dollars on the date the distribution is received. If the foreign currency is not converted into U.S. dollars on the date of receipt, however, gain or loss may be recognized upon a subsequent sale or other disposition of the foreign currency. The foreign currency gain or loss (if any) generally will be treated as ordinary income or loss to the U.S. Holder and generally will be treated as U.S.-source income or loss, which may be relevant in calculating the U.S. Holder’s foreign tax credit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Ordinary Shares or ADSs, and to the extent the amount of the distribution exceeds your tax basis, the excess will be taxed as capital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 dollars) for the share and your tax basis (in U.S. dollars) in the ADSs or Ordinary Shares. The gain or loss will be capital gain or loss. If you are a non-corporate U.S. Holder, including an individual U.S. Holder, who has held the ADSs or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75% of its gross income for such taxable year is passive income;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raised in the IPO will generally be considered to be held for the production of passive income and (2) the value of our assets must be determined based on the market value of the ADSs or our Ordinary Shares from time to time, which could cause the value of our non-passive assets to be less than 50% of the value of all of our assets (including the cash raised in the IPO) on any particular quarterly testing date for purposes of the asset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do not expect to be treated as a PFIC under the current PFIC rules. We must make a separate determination each year as to whether we are a PFIC, however, and there can be no assurance with respect to our status as a PFIC for our current taxable year or any future taxable year. Depending on the amount of cash raised in the IPO, together with any other assets held for the production of passive income, it is possible that, for our current taxable year or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the ADSs or our Ordinary Shares and because cash is generally considered to be an asset held for the production of passive income, our PFIC status will depend in large part on the market price of the ADSs or our Ordinary Shares and the amount of cash raised in the IPO. Accordingly, fluctuations in the market price of the ADSs or Ordinary Shares may cause us to become a PFIC. In addition, the application of the PFIC rules is subject to uncertainty in several respects and the composition of our income and assets will be affected by how, and how quickly, we spend the cash raised in the IPO. We are under no obligation to take steps to reduce the risk of our being classified as a PFIC, and as stated above, the determination of the value of our assets will depend upon material facts (including the market price of the ADSs or our Ordinary Shares from time to time and the amount of cash raised in the IPO) that may not be within our control. If we are a PFIC for any year during which you hold ADSs or Ordinary Shares, we will continue to be treated as a PFIC for all succeeding years during which you hold ADSs or Ordinary Shares. If we cease to be a PFIC and you did not previously make a timely “mark-to-market” election as described below, however, you may avoid some of the adverse effects of the PFIC regime by making a “purging election” (as described below) with respect to the ADSs or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ADSs or Ordinary Shares, you will be subject to special tax rules with respect to any “excess distribution” that you receive and any gain you realize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your holding period for the ADSs or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your current taxable year, and any amount allocated to any of your taxable year(s) prior to the first taxable year in which we were a PFIC, will be treated as ordinary income,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you hold the ADSs or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ADSs or Ordinary Shares and for which we are determined to be a PFIC, you will include in your income each year an amount equal to the excess, if any, of the fair market value of the ADSs or Ordinary Shares as of the close of such taxable year over your adjusted basis in such ADSs or Ordinary Shares, which excess will be treated as ordinary income and not capital gain. You are allowed an ordinary loss for the excess, if any, of the adjusted basis of the ADSs or Ordinary Shares over their fair market value as of the close of the taxable year. Such ordinary loss, however, is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are treated as ordinary income. Ordinary loss treatment also applies to any loss realized on the actual sale or disposition of the ADSs or Ordinary Shares, to the extent that the amount of such loss does not exceed the net mark-to-market gains previously included for such ADSs or Ordinary Shares. Your basis in the ADSs or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 Taxation of Dividends and Other Distributions on the ADSs or our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If the ADSs or Ordinary Shares are regularly traded on the Nasdaq and if you are a holder of ADSs or Ordinary Shares, the mark-to-market election would be available to you were we to be or become a PFIC.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ADSs or Ordinary Shares in any taxable year in which we are a PFIC, you will be required to file U.S. Internal Revenue Service Form 8621 in each such year and provide certain annual information regarding such ADSs or Ordinary Shares, including regarding distributions received on the ADSs or Ordinary Shares and any gain realized on the disposition of the ADSs or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the ADSs or our Ordinary Shares, then such ADSs or Ordinary Shares will continue to be treated as stock of a PFIC with respect to you even if we cease to be a PFIC in a future year, unless you make a “purging election” for the year we cease to be a PFIC. A “purging election” creates a deemed sale of such ADSs or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ADSs or Ordinary Shares on the last day of the last year in which we are treated as a PFIC) and holding period (which new holding period will begin the day after such last day) in your ADSs or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the ADSs or our Ordinary Shares when inherited from a decedent that was previously a holder of the ADSs or our Ordinary Shares. However, if we are determined to be a PFIC and a decedent that was a U.S. Holder did not make either a timely qualified electing fund election for our first taxable year as a PFIC in which the U.S. Holder held (or was deemed to hold) the ADSs or our Ordinary Shares, or a mark-to-market election and ownership of those ADSs or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the ADSs or our Ordinary Shares from a U.S. Holder to not get a step-up in basis under Section 1014 and instead will receive a carryover basis in those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the ADSs or our Ordinary Shares and the elections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the ADSs or our Ordinary Shares and proceeds from the sale, exchange or redemption of the ADSs or our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the ADSs or our Ordinary Shares, subject to certain exceptions (including an exception for ADSs or Ordinary Shares held in accounts maintained by certain financial institutions), by attaching a complete Internal Revenue Service Form 8938, Statement of Specified Foreign Financial Assets, with their tax return for each year in which they hold ADSs or Ordinary Shares. Failure to report such information could result in substantial penalties. You should consult your own tax advisor regarding your obligation to file a Form 8938.</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filed with the SEC our registration statement on Form F-1 (File No. 333-284875), as amended. 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Our executive officers and directors are required, pursuant to the Holding Foreign Insiders Accountable Act, to file Section 16(a) reports with the SEC to disclose their beneficial ownership of our securities. Our principal shareholders who are not officers or directors, however, remain exempt from Section 16(a) reporting requirements. Our executive officers, directors and principal shareholders are exempt from the short-swing profit recovery provisions contained in Section 16 of the Exchange 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about our subsidiaries, see “Item 4. Information on the Company—A. History and Development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sh_014"/>
      <w:bookmarkEnd w:id="60"/>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transact our operating activities in Japanese yen. Foreign exchange risk arises from future commercial transactions, recognized assets and liabilities, and net investments in foreign operations. We acknowledge the recent deterioration and volatility of the Japanese yen relative to U.S. dollars, but believe we are relatively insulated from foreign exchange risk, as primarily all of our economical transactions are conducted within Japan and using Japanese yen.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factors, such as increases in our operating expenses, may adversely affect our results of operations. Although we do not believe that inflation has had a material impact on our financial position or results of operations to date, an increase in the rate of inflation in the future may have an adverse effect on our levels of operating expenses as a percentage of revenue if we are unable to increase our prices to keep pace with these increased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that consisted of bank deposits. We did not have investment or other interest-earning instruments that carry a high degree of interest rate risk.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sh_015"/>
      <w:bookmarkEnd w:id="61"/>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Warrants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registers and delivers American Depositary Shares, also referred to as ADSs. Each ADS represents one share (or a right to receive one share) deposited with MUFG Bank, as custodian for the depositary in Japan.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 agreement for the ADSs and the form of ADRs that represents an ADS have been incorporated by reference as exhibits to this annual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7"/>
        <w:gridCol w:w="60"/>
        <w:gridCol w:w="5138"/>
      </w:tblGrid>
      <w:tr>
        <w:trPr/>
        <w:tc>
          <w:tcPr>
            <w:tcW w:w="500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Holders or persons depositing or withdrawing shares, surrendering ADSs, or to whom or from whom ADSs are delivered or cancelled, must pay</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(or less) per 100 ADSs (or portion of 100 ADSs)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Surrender of ADSs for the purpose of withdrawal or cancellation of ADSs, including if the deposit agreement terminates or in relation to a change in the number of shares represented by ADSs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(or less) per ADS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 equivalent to the fee that would be payable if securities distributed to you had been shares and the shares had been deposited for issuance of ADSs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Fees assessed from time to time, but not exceeding $.10 (or less) per ADS during any calendar year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 and registration of shares on our share register to or from the name of the depositary or its agent when you deposit or withdraw shares </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p>
            <w:pPr>
              <w:pStyle w:val="TableContents"/>
              <w:bidi w:val="0"/>
              <w:spacing w:before="0" w:after="0"/>
              <w:ind w:left="0" w:right="0" w:hanging="0"/>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charges incurred by the depositary or its agents for servicing the deposited securities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While aggregate fees for depositary services will not exceed $.10 per ADS in a calendar year, an investor may be charged more than one such fee in a consecutive 12-month period.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retains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 w:name="sh_017"/>
      <w:bookmarkEnd w:id="62"/>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sh_016"/>
      <w:bookmarkEnd w:id="63"/>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sh_018"/>
      <w:bookmarkEnd w:id="64"/>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“Use of Proceeds” information relates to the registration statement on Form F-1, as amended (File Number 333- 284875), which was declared effective by the SEC on June 30, 2025(the “Registration Statement”). The Registration Statement related to the IPO of 3,750,000 ADSs at a price to the public of $4.00 per ADS. On July 17, 2025, the ADSs began trading on the Nasdaq Capital Market under the ticker symbol “LAWR.” On July 18, 2025, the Company closed its IPO. D. Boral Capital LLC. acted as a representative of the several underwriters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approximately $3,135,986 in expenses in connection with our IPO, which included approximately $1,050,000 in underwriting discounts, approximately $150,000 in non-accountable expense allowance, approximately $250,000 in out-of-pocket accountable expenses paid to or for underwriters, and approximately $1,685,986 in other expenses. None of the transaction expenses included payments to directors or officers of our company or their associates, persons owning more than 10% or more of our equity securities or our affiliates. None of the net proceeds we received from the IPO were paid, directly or indirectly, to any of our directors or officers or their associates, persons owning 10% or more of our equity securities or our affiliates. We received aggregate net proceeds of $11,864,014 from our IPO, after deducting underwriting discounts, non-accountable expense allowance, and other related expenses. As of the date of this annual report, we have used a portion of the net proceeds for the following purposes: (i) approximately 12.6% for payment of merger and acquisition advisory service fees, (ii) approximately 18.1% for research and development and marketing activities, (iii) approximately 3.7% for recruitment activities, and (iv) approximately 31.1%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remaining balance of the net proceeds from the IPO as disclosed in the Registration Statement.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sh_019"/>
      <w:bookmarkEnd w:id="65"/>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CEO and CFO, has performed an evaluation of the effectiveness of our disclosure controls and procedures (as defined in Rule 13a-15(e) and 15d-15(e) under the Exchange Act) as of the end of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multiple material weaknesses in our internal control over financial reporting and, as a result, management has concluded that our internal control over financial reporting and our disclosure controls and procedures were not effective as of March 31, 2026. The material weaknesses identified mainly relate to (i) insufficient financial reporting and accounting personnel with appropriate knowledge of U.S. GAAP and SEC reporting requirements; (ii) inadequate segregation of duties in the authorization, recording, and review of transactions; and (iii) deficiencies in our financial closing, reconciliation, and review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during the audit of the financial statements for the fiscal year ended March 31, 2025, we identified an inadequate segregation of duties within key financial reporting processes, including the authorization, recording, and review of transactions as further material weaknesses in our internal control over financial reporting which may result in unauthorized or erroneous transactions to be processed without independent verification or detection. During the audit for the fiscal year ended March 31, 2026, numerous material post-closing adjustments were also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foregoing material weaknesses have not been rectified. The material weaknesses in our internal control over financial reporting could also result in other misstatements of our accounts or disclosures, which may result in additional material misstatements in our annual or interim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sh_020"/>
      <w:bookmarkEnd w:id="66"/>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sh_021"/>
      <w:bookmarkEnd w:id="67"/>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have elected to structure our corporate governance system as a company with a separate board of corporate auditors. The function of our board of corporate auditors and each board member is similar to that of independent directors, including those who are members of the audit committee of a U.S. public company. Our board of corporate auditors is comprised of three members, each of which satisfies the requirements of Rule 10A-3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sh_022"/>
      <w:bookmarkEnd w:id="68"/>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Charter of Corporate Ethics and Conduct, which is applicable to all of our directors and employees. A copy of such Charter of Corporate Ethics and Conduct is publicly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sh_023"/>
      <w:bookmarkEnd w:id="69"/>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Assentsure PAC and Grassi &amp; Co., CPAs P.C., our independent registered public accounting firms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5798" w:type="dxa"/>
        <w:jc w:val="left"/>
        <w:tblInd w:w="0" w:type="dxa"/>
        <w:tblLayout w:type="fixed"/>
        <w:tblCellMar>
          <w:top w:w="0" w:type="dxa"/>
          <w:left w:w="0" w:type="dxa"/>
          <w:bottom w:w="0" w:type="dxa"/>
          <w:right w:w="0" w:type="dxa"/>
        </w:tblCellMar>
      </w:tblPr>
      <w:tblGrid>
        <w:gridCol w:w="1805"/>
        <w:gridCol w:w="60"/>
        <w:gridCol w:w="270"/>
        <w:gridCol w:w="1544"/>
        <w:gridCol w:w="115"/>
        <w:gridCol w:w="115"/>
        <w:gridCol w:w="270"/>
        <w:gridCol w:w="1544"/>
        <w:gridCol w:w="75"/>
      </w:tblGrid>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center"/>
              <w:rPr/>
            </w:pPr>
            <w:r>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18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Audit fees (1)</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180,000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296,948</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both"/>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54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54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both"/>
              <w:rPr/>
            </w:pPr>
            <w:r>
              <w:rPr/>
              <w:t>All other fees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54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54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4" w:type="dxa"/>
            <w:tcBorders>
              <w:bottom w:val="double" w:sz="6" w:space="0" w:color="000000"/>
            </w:tcBorders>
            <w:shd w:fill="CCEEFF" w:val="clear"/>
            <w:tcMar>
              <w:bottom w:w="28" w:type="dxa"/>
            </w:tcMar>
            <w:vAlign w:val="center"/>
          </w:tcPr>
          <w:p>
            <w:pPr>
              <w:pStyle w:val="TableContents"/>
              <w:bidi w:val="0"/>
              <w:spacing w:before="0" w:after="283"/>
              <w:jc w:val="right"/>
              <w:rPr/>
            </w:pPr>
            <w:r>
              <w:rPr/>
              <w:t>180,000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4" w:type="dxa"/>
            <w:tcBorders>
              <w:bottom w:val="double" w:sz="6" w:space="0" w:color="000000"/>
            </w:tcBorders>
            <w:shd w:fill="CCEEFF" w:val="clear"/>
            <w:tcMar>
              <w:bottom w:w="28" w:type="dxa"/>
            </w:tcMar>
            <w:vAlign w:val="center"/>
          </w:tcPr>
          <w:p>
            <w:pPr>
              <w:pStyle w:val="TableContents"/>
              <w:bidi w:val="0"/>
              <w:spacing w:before="0" w:after="283"/>
              <w:jc w:val="right"/>
              <w:rPr/>
            </w:pPr>
            <w:r>
              <w:rPr/>
              <w:t>296,948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 in connection with our IPO in 2025.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sh_024"/>
      <w:bookmarkEnd w:id="70"/>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3. Key Information—D. Risk Factors—Risks Relating to the Trading Market—Because we are a foreign private issuer and have taken advantage of exemptions from certain Nasdaq corporate governance standards applicable to U.S. issuers, you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sh_025"/>
      <w:bookmarkEnd w:id="71"/>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sh_026"/>
      <w:bookmarkEnd w:id="72"/>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independent accountants for our Company during the two most recent fiscal years or any subsequent interim period, except as previously reported in the report of foreign private issuer on Form 6-K filed with the SEC on October 28, 2025. There have been no disagreements of the type required to be disclosed by Item 16F(b).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sh_027"/>
      <w:bookmarkEnd w:id="73"/>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federal securities laws of the United States and the Nasdaq listing standards. Under the federal securities laws of the United States, foreign private issuers are subject to different disclosure requirements than U.S.-domiciled public companies. We intend to take all actions necessary for us to maintain our status as a foreign private issuer under the applicable corporate governance requirements of the Sarbanes-Oxley Act, the Exchange Act and other applicable rules adopted by the SEC, and the Nasdaq listing standards. Under the SEC rules and the Nasdaq listing standards, a foreign private issuer is subject to less stringent corporate governance requirements. Subject to certain exceptions, the SEC and Nasdaq permit a foreign private issuer to follow its home country practice in lieu of their respective rules and listing standards. In general, our articles of incorporation and the Companies Act govern our corporate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a foreign private issuer, we will follow Japanese law and corporate practice in lieu of the corporate governance provisions set out under Nasdaq Rule 5600. Of particular note, the following rules under Nasdaq Rule 5600 differ from Japanese law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Rule 5605(b)(1) requires that at least a majority of a listed company’s board of directors be independent directors, and Nasdaq Rule 5605(b)(2) requires that independent directors regularly meet in executive session, where only independent directors are present. Under our current corporate structure, the Companies Act does not require independent directors. However, our board of directors is currently comprised of six directors, one of which is considered “independent,” as determined in accordance with the applicable Nasdaq rules.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5605(c)(2)(A) requires a listed company to have an audit committee composed entirely of not less than three directors, each of whom must be independent. Under Japanese law, a company may have a statutory auditor or a board of corporate auditors. We have a three-member board of corporate auditors, which will meet the requirements for general exemptions of Rule 10A-3(c)(3) under the Exchange Act. See “Item 6. Director, Senior Management and Employees—C. Board Practices—Board of Corporate Auditors” for additional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Rule 5605(d) requires, among other things, that a listed company’s compensation committee be comprised of at least two members, each of whom is an independent director as defined under such rule. Our board of directors will collectively participate in the discussions and determination of compensation for our executive, directors, and corporate auditors (subject to the maximum aggregate compensation amount resolved by our shareholders meetings), and other compensation related matters.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Rule 5605(e) requires that a listed company’s nomination and corporate governance committee be comprised solely of independent directors. Our board of directors will not have a standalone nomination and corporate governance committee. Our board of directors will collectively participate in the nomination process of potential directors and corporate auditors and oversee our corporate governance practices.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5620(c) sets out a quorum requirement of 33-1/3% applicable to meetings of shareholders. In accordance with Japanese law and generally accepted business practices, our articles of incorporation provide that there is no quorum requirement for a general resolution of our shareholders. However, under the Companies Act and our articles of incorporation, a quorum of not less than one-third of the total number of voting rights is required in connection with the election of directors, statutory auditors, and certain other matters.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sh_028"/>
      <w:bookmarkEnd w:id="74"/>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sh_029"/>
      <w:bookmarkEnd w:id="75"/>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sh_030"/>
      <w:bookmarkEnd w:id="76"/>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w:t>
      </w:r>
      <w:bookmarkStart w:id="77" w:name="xdx_908_eecd--InsiderTrdPoliciesProcAdop"/>
      <w:bookmarkEnd w:id="77"/>
      <w:r>
        <w:rPr>
          <w:rFonts w:ascii="Times New Roman;Times;Serif" w:hAnsi="Times New Roman;Times;Serif"/>
          <w:b w:val="false"/>
          <w:i w:val="false"/>
          <w:caps w:val="false"/>
          <w:smallCaps w:val="false"/>
          <w:sz w:val="20"/>
        </w:rPr>
        <w:t>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sh_031"/>
      <w:bookmarkEnd w:id="78"/>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xdx_98B_ecyd--CybersecurityRiskManagemen"/>
      <w:bookmarkEnd w:id="79"/>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bookmarkStart w:id="80" w:name="xdx_C05_gBFCRMPFAIAMT-MAGDI_z7V81FMrjdj2"/>
      <w:bookmarkEnd w:id="80"/>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recognize the importance of safeguarding the security of our computer systems, software, networks, and other technology assets. </w:t>
      </w:r>
      <w:bookmarkStart w:id="81" w:name="xdx_90D_ecyd--CybersecurityRiskManagemen"/>
      <w:bookmarkEnd w:id="81"/>
      <w:r>
        <w:rPr>
          <w:rFonts w:ascii="Times New Roman;Times;Serif" w:hAnsi="Times New Roman;Times;Serif"/>
          <w:b w:val="false"/>
          <w:i w:val="false"/>
          <w:caps w:val="false"/>
          <w:smallCaps w:val="false"/>
          <w:sz w:val="20"/>
        </w:rPr>
        <w:t xml:space="preserve">We have implemented cybersecurity measures and protocols for assessing, identifying, and managing material risks from cybersecurity threats, which are </w:t>
      </w:r>
      <w:bookmarkStart w:id="82" w:name="xdx_904_ecyd--CybersecurityRiskManagemen"/>
      <w:bookmarkEnd w:id="82"/>
      <w:r>
        <w:rPr>
          <w:rFonts w:ascii="Times New Roman;Times;Serif" w:hAnsi="Times New Roman;Times;Serif"/>
          <w:b w:val="false"/>
          <w:i w:val="false"/>
          <w:caps w:val="false"/>
          <w:smallCaps w:val="false"/>
          <w:sz w:val="20"/>
        </w:rPr>
        <w:t>integrated into our overall risk management framework. We aim to ensure a comprehensive and proactive approach to safeguarding our assets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comprehensive information security policy that established internal rules regarding information asset management, including authorization for, and access to, digital storage and physical premise storing information, infrastructure operation and management, and software development management and vendor selection security procedures. The policy also established an information security committee responsible for formulating, monitoring, and reviewing our information security measures and relevant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March 31, 2026, </w:t>
      </w:r>
      <w:bookmarkStart w:id="83" w:name="xdx_906_ecyd--CybersecurityRiskMateriall"/>
      <w:bookmarkEnd w:id="83"/>
      <w:r>
        <w:rPr>
          <w:rFonts w:ascii="Times New Roman;Times;Serif" w:hAnsi="Times New Roman;Times;Serif"/>
          <w:b w:val="false"/>
          <w:i w:val="false"/>
          <w:caps w:val="false"/>
          <w:smallCaps w:val="false"/>
          <w:sz w:val="20"/>
        </w:rPr>
        <w:t xml:space="preserve">we did </w:t>
      </w:r>
      <w:bookmarkStart w:id="84" w:name="xdx_906_ecyd--CybersecurityRiskMateriall"/>
      <w:bookmarkEnd w:id="84"/>
      <w:r>
        <w:rPr>
          <w:rFonts w:ascii="Times New Roman;Times;Serif" w:hAnsi="Times New Roman;Times;Serif"/>
          <w:b w:val="false"/>
          <w:i w:val="false"/>
          <w:caps w:val="false"/>
          <w:smallCaps w:val="false"/>
          <w:sz w:val="20"/>
        </w:rPr>
        <w:t>not detect any cybersecurity incidents that materially affected or were/are reasonably likely to materially affect us, including our business strategy, results of operations,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risks from cybersecurity threats have not to date materially affected, and we do not believe they are reasonably likely to materially affect, us, our business strategy, results of operations or financial condition, we may, from time to time, experience threats to and security incidents related to our data and systems.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85" w:name="xdx_C0F_gBFCRMPFAIAMT-MAGDI_zw8Z8SUnR1zj"/>
      <w:bookmarkEnd w:id="8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xdx_983_ecyd--CybersecurityRiskBoardOfDi"/>
      <w:bookmarkEnd w:id="86"/>
      <w:r>
        <w:rPr>
          <w:rFonts w:ascii="Times New Roman;Times;Serif" w:hAnsi="Times New Roman;Times;Serif"/>
          <w:b/>
          <w:i w:val="false"/>
          <w:caps w:val="false"/>
          <w:smallCaps w:val="false"/>
          <w:sz w:val="20"/>
        </w:rPr>
        <w:t>Governance</w:t>
      </w:r>
    </w:p>
    <w:p>
      <w:pPr>
        <w:pStyle w:val="TextBody"/>
        <w:bidi w:val="0"/>
        <w:spacing w:before="0" w:after="0"/>
        <w:ind w:left="0" w:right="0" w:hanging="0"/>
        <w:jc w:val="both"/>
        <w:rPr>
          <w:caps w:val="false"/>
          <w:smallCaps w:val="false"/>
        </w:rPr>
      </w:pPr>
      <w:bookmarkStart w:id="87" w:name="xdx_C0C_gBFCRBODOTB-EZBXHL_zh2CjlgufVOb"/>
      <w:bookmarkEnd w:id="8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Oversight and Management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 w:name="xdx_90D_ecyd--CybersecurityRiskProcessFo"/>
      <w:bookmarkEnd w:id="88"/>
      <w:r>
        <w:rPr>
          <w:rFonts w:ascii="Times New Roman;Times;Serif" w:hAnsi="Times New Roman;Times;Serif"/>
          <w:b w:val="false"/>
          <w:i w:val="false"/>
          <w:caps w:val="false"/>
          <w:smallCaps w:val="false"/>
          <w:sz w:val="20"/>
        </w:rPr>
        <w:t xml:space="preserve">Our board of directors, according to the information security policy, has delegated cybersecurity management to the information security committee. The current committee consists of Mr. Tomoya Suzuki, our director and chief technology officer, serving as the information security manager; Mr. Amit Thakur, our director and chief executive officer, serving as the information security inspector; and Mr. Kanato Asagarasu, our manager. According to the policy, </w:t>
      </w:r>
      <w:bookmarkStart w:id="89" w:name="xdx_909_ecyd--CybersecurityRiskManagemen"/>
      <w:bookmarkEnd w:id="89"/>
      <w:r>
        <w:rPr>
          <w:rFonts w:ascii="Times New Roman;Times;Serif" w:hAnsi="Times New Roman;Times;Serif"/>
          <w:b w:val="false"/>
          <w:i w:val="false"/>
          <w:caps w:val="false"/>
          <w:smallCaps w:val="false"/>
          <w:sz w:val="20"/>
        </w:rPr>
        <w:t xml:space="preserve">the information security manager monitors relevant cybersecurity threats and trends in personal information protection and timely report them to the information security committee. Our information security inspector shall review this policy’s </w:t>
      </w:r>
      <w:bookmarkStart w:id="90" w:name="xdx_90C_ecyd--CybersecurityRiskManagemen"/>
      <w:bookmarkEnd w:id="90"/>
      <w:r>
        <w:rPr>
          <w:rFonts w:ascii="Times New Roman;Times;Serif" w:hAnsi="Times New Roman;Times;Serif"/>
          <w:b w:val="false"/>
          <w:i w:val="false"/>
          <w:caps w:val="false"/>
          <w:smallCaps w:val="false"/>
          <w:sz w:val="20"/>
        </w:rPr>
        <w:t>implementation annually and report his findings to the information security committee. Based on these findings, the committee shall formulate necessary improvement plans. In the event of a cybersecurity incident, Mr. Hidetoshi Yokoyama, our representative director, assumes the top leadership role, and Mr. Tomoya Suzuki acts as an incident response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the policy, we have always used our best efforts to maintain appropriate service agreements with our third-party software vendors and cloud service providers to maintain the uninterrupted use of our products and services and protect customers’ data. We also endeavor to ensure through these agreements that the cloud services are sufficiently isolated, and the data are securely stored with necessary encryptions. </w:t>
      </w:r>
      <w:bookmarkStart w:id="91" w:name="xdx_906_ecyd--CybersecurityRiskManagemen"/>
      <w:bookmarkEnd w:id="91"/>
      <w:r>
        <w:rPr>
          <w:rFonts w:ascii="Times New Roman;Times;Serif" w:hAnsi="Times New Roman;Times;Serif"/>
          <w:b w:val="false"/>
          <w:i w:val="false"/>
          <w:caps w:val="false"/>
          <w:smallCaps w:val="false"/>
          <w:sz w:val="20"/>
        </w:rPr>
        <w:t>Our chief technology officer and head of management are responsible for monitoring the execution of these agreements.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2" w:name="xdx_C01_gBFCRBODOTB-EZBXHL_zriKxgw4Kiwj"/>
      <w:bookmarkEnd w:id="9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sh_032"/>
      <w:bookmarkEnd w:id="93"/>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 w:name="sh_033"/>
      <w:bookmarkEnd w:id="9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sh_034"/>
      <w:bookmarkEnd w:id="9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our Company are included at the end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sh_035"/>
      <w:bookmarkEnd w:id="9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the Registrant (English Translation) (incorporated by reference to Exhibit 3.1 of our foreign private issuer report on Form 6-K/A (File No. 001-42740), filed with the U.S. Securities and Exchange Commission on July 7, 2026) )</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American Depositary Receipt (incorporated by reference to Exhibit 4.1 of our Registration Statement on Form F-1 (File No. 333-284875), filed with the U.S. Securities and Exchange Commission on March 19,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60"/>
        <w:gridCol w:w="982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Deposit Agreement among the Registrant, The Bank of New York Mellon, as depositary, and the owners and holders of ADSs issued thereunder (incorporated by reference to Exhibit 4.2 of our Registration Statement on Form F-1 (File No. 333-284875), filed with the U.S. Securities and Exchange Commission on March 19, 2025)</w:t>
              </w:r>
            </w:hyperlink>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w:anchor="ex2-3.htm">
              <w:r>
                <w:rPr>
                  <w:rStyle w:val="InternetLink"/>
                  <w:rFonts w:ascii="Times New Roman;Times;Serif" w:hAnsi="Times New Roman;Times;Serif"/>
                  <w:b w:val="false"/>
                  <w:i w:val="false"/>
                  <w:caps w:val="false"/>
                  <w:smallCaps w:val="false"/>
                  <w:sz w:val="20"/>
                </w:rPr>
                <w:t>Description of the rights of each class of securities registered</w:t>
              </w:r>
            </w:hyperlink>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Master System Development Consignment Agreement between Brand Cloud Inc and Robot Consulting Co., Ltd. dated December 25, 2022 (English translation) (incorporated by reference to Exhibit 10.3 of our Registration Statement on Form F-1 (File No. 333-284875), filed with the U.S. Securities and Exchange Commission on February 12, 2025)</w:t>
              </w:r>
            </w:hyperlink>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Outsourcing Agreement between Kizashi Inc. and Robot Consulting Co., Ltd. dated September 1, 2022 (For the subsidy application support for our corporate customers’ clients) (English translation) (incorporated by reference to Exhibit 10.4 of our Registration Statement on Form F-1 (File No. 333-284875), filed with the U.S. Securities and Exchange Commission on February 12, 2025)</w:t>
              </w:r>
            </w:hyperlink>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Outsourcing Agreement between Kizashi Inc. and Robot Consulting Co., Ltd. dated July 26, 2022 (For subsidy application support for our clients purchasing our products) (English translation) (incorporated by reference to Exhibit 10.5 of our Registration Statement on Form F-1 (File No. 333-284875), filed with the U.S. Securities and Exchange Commission on February 12, 2025)</w:t>
              </w:r>
            </w:hyperlink>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Product Development Agreement between CJK Group, Inc. and Robot Consulting Co., Ltd. dated July 19, 2023 (incorporated by reference to Exhibit 10.6 of our Registration Statement on Form F-1 (File No. 333-284875), filed with the U.S. Securities and Exchange Commission on February 12, 2025)</w:t>
              </w:r>
            </w:hyperlink>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
        <w:gridCol w:w="60"/>
        <w:gridCol w:w="9622"/>
      </w:tblGrid>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Agency Agreement between Nac Co., Ltd. and Robot Consulting Co., Ltd. dated November 30, 2022 and the Memorandum Concerning the Agency Agreement dated March 14, 2023 (English translation) (incorporated by reference to Exhibit 10.7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Master Business Consignment Agreement between Robot Consulting Co., Ltd. and Argyle Inc., dated May 26, 2022 (English translation) (incorporated by reference to Exhibit 10.8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Labor Robot Software Licensing Agreement (English translation) (incorporated by reference to Exhibit 10.9 of our Registration Statement on Form F-1 (File No. 333-284875), filed with the U.S. Securities and Exchange Commission on June 16,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E-Learning Licensing Agreement (English translation) (incorporated by reference to Exhibit 10.10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Consulting and Services Agreement between Robot Consulting Co., Ltd. and Spirit Advisors, LLC dated April 24, 2023 (incorporated by reference to Exhibit 10.11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Common Stock Purchase Warrant between Robot Consulting Co., Ltd. and Spirit Advisors, LLC dated August 29, 2023 (incorporated by reference to Exhibit 10.12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WisdomBase Cloud Service Application Form between the Robot Consulting Co., Ltd. and ShareWis Co., Ltd. dated June 11, 2024 (English translation) (incorporated by reference to Exhibit 10.13 of our Registration Statement on Form F-1 (File No. 333-284875), filed with the U.S. Securities and Exchange Commission on June 16,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Side Letter Agreement between Robot Consulting Co., Ltd. and Spirit Advisors LLC dated December 18, 2024 (incorporated by reference to Exhibit 10.14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E-learning Licensing Agreement between Robot Consulting Co., Ltd. and Enechita Co., Ltd., dated August 30, 2024 (English translation) (incorporated by reference to Exhibit 10.15 of our Registration Statement on Form F-1 (File No. 333-284875), filed with the U.S. Securities and Exchange Commission on February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E-learning Licensing Agreement between Robot Consulting Co., Ltd. and Bran Co., Ltd., dated July 1, 2025 (English translation) (incorporated by reference to Exhibit 4.16 of our Annual Report on Form 20-F (File No. 001-42740), filed with the U.S. Securities and Exchange Commission on August 15, 2026)</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4-15.htm">
              <w:r>
                <w:rPr>
                  <w:rStyle w:val="InternetLink"/>
                  <w:rFonts w:ascii="Times New Roman;Times;Serif" w:hAnsi="Times New Roman;Times;Serif"/>
                  <w:b w:val="false"/>
                  <w:i w:val="false"/>
                  <w:caps w:val="false"/>
                  <w:smallCaps w:val="false"/>
                  <w:sz w:val="20"/>
                </w:rPr>
                <w:t>Form of Billing Robot Software Licensing Agreement (English Translation)</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4-16.htm">
              <w:r>
                <w:rPr>
                  <w:rStyle w:val="InternetLink"/>
                  <w:rFonts w:ascii="Times New Roman;Times;Serif" w:hAnsi="Times New Roman;Times;Serif"/>
                  <w:b w:val="false"/>
                  <w:i w:val="false"/>
                  <w:caps w:val="false"/>
                  <w:smallCaps w:val="false"/>
                  <w:sz w:val="20"/>
                </w:rPr>
                <w:t>Partnership Agreement (Sales Corporation) between Robot Consulting Co., Ltd. and Infcurion Inc., dated November 11, 2024 (English Translation)</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4-17.htm">
              <w:r>
                <w:rPr>
                  <w:rStyle w:val="InternetLink"/>
                  <w:rFonts w:ascii="Times New Roman;Times;Serif" w:hAnsi="Times New Roman;Times;Serif"/>
                  <w:b w:val="false"/>
                  <w:i w:val="false"/>
                  <w:caps w:val="false"/>
                  <w:smallCaps w:val="false"/>
                  <w:sz w:val="20"/>
                </w:rPr>
                <w:t>Brand Management Service Agreement between Robot Consulting Co., Ltd. and FUNKEN VISION ADVERTISING (HK) LIMITED, dated May 12,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4-18.htm">
              <w:r>
                <w:rPr>
                  <w:rStyle w:val="InternetLink"/>
                  <w:rFonts w:ascii="Times New Roman;Times;Serif" w:hAnsi="Times New Roman;Times;Serif"/>
                  <w:b w:val="false"/>
                  <w:i w:val="false"/>
                  <w:caps w:val="false"/>
                  <w:smallCaps w:val="false"/>
                  <w:sz w:val="20"/>
                </w:rPr>
                <w:t>Facilitator Agreement between Robot Consulting Co., Ltd. and FUNKEN VISION ADVERTISING (HK) LIMITED, dated May 18,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4-19.htm">
              <w:r>
                <w:rPr>
                  <w:rStyle w:val="InternetLink"/>
                  <w:rFonts w:ascii="Times New Roman;Times;Serif" w:hAnsi="Times New Roman;Times;Serif"/>
                  <w:b w:val="false"/>
                  <w:i w:val="false"/>
                  <w:caps w:val="false"/>
                  <w:smallCaps w:val="false"/>
                  <w:sz w:val="20"/>
                </w:rPr>
                <w:t>Precision Marketing Services Agreement between Robot Consulting Co., Ltd. and FUNKEN VISION ADVERTISING (HK) LIMITED, dated May 12, 2025 (English Translation)</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Code of Corporate Ethics and Conduct of the Registrant (incorporated by reference to Exhibit 99.1 of our Registration Statement on Form F-1 (File No. 333-284875), filed with the U.S. Securities and Exchange Commission on March 19,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Insider Trading Policy of the Registrant (incorporated by reference to Exhibit 11.2 of our Annual Report on Form 20-F (File No. 001-42740), filed with the U.S. Securities and Exchange Commission on August 15, 2025)</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Compensation Recovery Policy</w:t>
              </w:r>
            </w:hyperlink>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2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 on Form 20-F</w:t>
            </w:r>
          </w:p>
        </w:tc>
      </w:tr>
    </w:tbl>
    <w:p>
      <w:pPr>
        <w:pStyle w:val="TextBody"/>
        <w:bidi w:val="0"/>
        <w:spacing w:before="0" w:after="0"/>
        <w:ind w:left="0" w:right="0" w:hanging="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both"/>
              <w:rPr>
                <w:sz w:val="20"/>
              </w:rPr>
            </w:pPr>
            <w:r>
              <w:rPr>
                <w:sz w:val="20"/>
              </w:rPr>
              <w:t>Certain portion of this Exhibit was redacted pursuant to Item 601(a)(6) of Regulation S-K and marked by means of brackets and asterisks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both"/>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1565"/>
        <w:gridCol w:w="320"/>
        <w:gridCol w:w="3140"/>
      </w:tblGrid>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 CONSULTING CO., LTD.</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Hidetoshi Yokoyama</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Chairman</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8735"/>
        <w:gridCol w:w="320"/>
      </w:tblGrid>
      <w:tr>
        <w:trPr/>
        <w:tc>
          <w:tcPr>
            <w:tcW w:w="8735"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b/>
                <w:i w:val="false"/>
                <w:caps w:val="false"/>
                <w:smallCaps w:val="false"/>
                <w:sz w:val="20"/>
              </w:rPr>
              <w:t xml:space="preserve"> (PCAOB ID: </w:t>
            </w:r>
            <w:bookmarkStart w:id="97" w:name="xdx_90B_edei--AuditorFirmId_c20250401__2"/>
            <w:bookmarkEnd w:id="97"/>
            <w:r>
              <w:rPr>
                <w:rFonts w:ascii="Times New Roman;Times;Serif" w:hAnsi="Times New Roman;Times;Serif"/>
                <w:b/>
                <w:i w:val="false"/>
                <w:caps w:val="false"/>
                <w:smallCaps w:val="false"/>
                <w:sz w:val="20"/>
              </w:rPr>
              <w:t>6783)</w:t>
            </w:r>
            <w:r>
              <w:rPr>
                <w:rFonts w:ascii="Times New Roman;Times;Serif" w:hAnsi="Times New Roman;Times;Serif"/>
                <w:b w:val="false"/>
                <w:i w:val="false"/>
                <w:caps w:val="false"/>
                <w:smallCaps w:val="false"/>
                <w:sz w:val="20"/>
              </w:rPr>
              <w:t xml:space="preserve"> </w:t>
            </w:r>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F-2</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b/>
                <w:i w:val="false"/>
                <w:caps w:val="false"/>
                <w:smallCaps w:val="false"/>
                <w:sz w:val="20"/>
              </w:rPr>
              <w:t xml:space="preserve"> (PCAOB ID: </w:t>
            </w:r>
            <w:bookmarkStart w:id="98" w:name="xdx_90C_edei--AuditorFirmId_c20240401__2"/>
            <w:bookmarkEnd w:id="98"/>
            <w:r>
              <w:rPr>
                <w:rFonts w:ascii="Times New Roman;Times;Serif" w:hAnsi="Times New Roman;Times;Serif"/>
                <w:b/>
                <w:i w:val="false"/>
                <w:caps w:val="false"/>
                <w:smallCaps w:val="false"/>
                <w:sz w:val="20"/>
              </w:rPr>
              <w:t>606)</w:t>
            </w:r>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F-3</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i w:val="false"/>
                  <w:caps w:val="false"/>
                  <w:smallCaps w:val="false"/>
                  <w:sz w:val="20"/>
                </w:rPr>
                <w:t>Balance Sheets as of March 31, 2026 and 2025</w:t>
              </w:r>
            </w:hyperlink>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i w:val="false"/>
                  <w:caps w:val="false"/>
                  <w:smallCaps w:val="false"/>
                  <w:sz w:val="20"/>
                </w:rPr>
                <w:t>Statements of Operations for the Fiscal Years Ended March 31, 2026, 2025 and 2024</w:t>
              </w:r>
            </w:hyperlink>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F-5</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i w:val="false"/>
                  <w:caps w:val="false"/>
                  <w:smallCaps w:val="false"/>
                  <w:sz w:val="20"/>
                </w:rPr>
                <w:t>Statements of Shareholders’ Equity/(Deficit) for the Fiscal Years Ended March 31, 2026, 2025 and 2024</w:t>
              </w:r>
            </w:hyperlink>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F-6</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i w:val="false"/>
                  <w:caps w:val="false"/>
                  <w:smallCaps w:val="false"/>
                  <w:sz w:val="20"/>
                </w:rPr>
                <w:t>Statements of Cash Flows for the Fiscal Years Ended March 31, 2026, 2025 and 2024</w:t>
              </w:r>
            </w:hyperlink>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F-7</w:t>
            </w:r>
          </w:p>
        </w:tc>
      </w:tr>
      <w:tr>
        <w:trPr/>
        <w:tc>
          <w:tcPr>
            <w:tcW w:w="87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35"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i w:val="false"/>
                  <w:caps w:val="false"/>
                  <w:smallCaps w:val="false"/>
                  <w:sz w:val="20"/>
                </w:rPr>
                <w:t>Notes to Financial Statements for the Fiscal Years Ended March 31, 2026 and 2025</w:t>
              </w:r>
            </w:hyperlink>
          </w:p>
        </w:tc>
        <w:tc>
          <w:tcPr>
            <w:tcW w:w="3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F-8</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9" w:name="DA_001"/>
      <w:bookmarkEnd w:id="9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Robot Consulting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 w:name="xdx_98C_edei--AuditorOpinionTextBlock_c2"/>
      <w:bookmarkEnd w:id="100"/>
      <w:r>
        <w:rPr>
          <w:rFonts w:ascii="Times New Roman;Times;Serif" w:hAnsi="Times New Roman;Times;Serif"/>
          <w:b w:val="false"/>
          <w:i w:val="false"/>
          <w:caps w:val="false"/>
          <w:smallCaps w:val="false"/>
          <w:sz w:val="20"/>
        </w:rPr>
        <w:t>We have audited the accompanying balance sheet of Robot Consulting Co., Ltd. (the “Company”) as of March 31, 2026, the related statements of operations, shareholders’ equity/(deficit), and cash flows for the year ended March 31, 2026, and the related notes (collectively referred to as the “financial statements”). In our opinion, the financial statements present fairly, in all material respects, the balance sheet of the Company as of March 31, 2026, and the results of its operations and its cash flows for the year ended March 31,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Uncertainty Related to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has significant accumulated deficits and continues to experience negative cash flows from operations. These factors raise substantial doubts about the Company’s ability to continue as a going concern. Management’s plans in regard to these matters are described in Note 1 to the financial statements.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101" w:name="xdx_908_edei--AuditorName_c20250401__202"/>
      <w:bookmarkEnd w:id="101"/>
      <w:r>
        <w:rPr>
          <w:rFonts w:ascii="Times New Roman;Times;Serif" w:hAnsi="Times New Roman;Times;Serif"/>
          <w:b w:val="false"/>
          <w:i w:val="false"/>
          <w:caps w:val="false"/>
          <w:smallCaps w:val="false"/>
          <w:sz w:val="20"/>
        </w:rPr>
        <w:t>Assentsure 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 w:name="xdx_90E_edei--AuditorLocation_c20250401_"/>
      <w:bookmarkEnd w:id="102"/>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PCAOB ID number: </w:t>
      </w:r>
      <w:bookmarkStart w:id="103" w:name="xdx_90D_edei--AuditorFirmId_c20250401__2"/>
      <w:bookmarkEnd w:id="103"/>
      <w:r>
        <w:rPr>
          <w:rFonts w:ascii="Times New Roman;Times;Serif" w:hAnsi="Times New Roman;Times;Serif"/>
          <w:b w:val="false"/>
          <w:i w:val="false"/>
          <w:caps w:val="false"/>
          <w:smallCaps w:val="false"/>
          <w:sz w:val="20"/>
          <w:shd w:fill="FFFFFF" w:val="clear"/>
        </w:rPr>
        <w:t>6783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71600" cy="713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1371600" cy="71310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4" w:name="fin_001"/>
      <w:bookmarkEnd w:id="104"/>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Robot Consulting Co., Ltd. (the “Company”) as of March 31, 2025 and 2024, and the related statements of operations, stockholder’s equity (deficit), and cash flows for the years then ended, and the related notes (collectively referred to as the financial statements). In our opinion, the financial statements present fairly, in all material respects, the financial position of the Company as of March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Robot Consulting Co., Ltd, will continue as a going concern. As discussed in Note 1 to the financial statements, the Company’s operating losses and accumulated deficit raise substantial doubt about its ability to continue as a going concern. Management’s evaluation of the events and conditions, and management’s plans regarding those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Emphasis of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the accompanying financial statements reflect retrospective application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828800" cy="361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 w:name="xdx_90D_edei--AuditorName_c20240401__202"/>
      <w:bookmarkEnd w:id="105"/>
      <w:r>
        <w:rPr>
          <w:rFonts w:ascii="Times New Roman;Times;Serif" w:hAnsi="Times New Roman;Times;Serif"/>
          <w:b w:val="false"/>
          <w:i w:val="false"/>
          <w:caps w:val="false"/>
          <w:smallCaps w:val="false"/>
          <w:sz w:val="20"/>
        </w:rPr>
        <w:t>Grassi &amp; Co.,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 w:name="xdx_902_edei--AuditorLocation_c20240401_"/>
      <w:bookmarkEnd w:id="106"/>
      <w:r>
        <w:rPr>
          <w:rFonts w:ascii="Times New Roman;Times;Serif" w:hAnsi="Times New Roman;Times;Serif"/>
          <w:b w:val="false"/>
          <w:i w:val="false"/>
          <w:caps w:val="false"/>
          <w:smallCaps w:val="false"/>
          <w:sz w:val="20"/>
        </w:rPr>
        <w:t>Jericho,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2025</w:t>
      </w:r>
    </w:p>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 w:name="sp_001"/>
      <w:bookmarkEnd w:id="107"/>
      <w:r>
        <w:rPr>
          <w:rFonts w:ascii="Times New Roman;Times;Serif" w:hAnsi="Times New Roman;Times;Serif"/>
          <w:b/>
          <w:i w:val="false"/>
          <w:caps w:val="false"/>
          <w:smallCaps w:val="false"/>
          <w:sz w:val="20"/>
        </w:rPr>
        <w:t>ROBOT CONSULTING CO., LTD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(Yen 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 w:name="xdx_305_111_pn3n3_zErIwD5eL0T"/>
      <w:bookmarkStart w:id="109" w:name="xdx_305_111_pn3n3_zErIwD5eL0T"/>
      <w:bookmarkEnd w:id="109"/>
    </w:p>
    <w:tbl>
      <w:tblPr>
        <w:tblW w:w="10205" w:type="dxa"/>
        <w:jc w:val="left"/>
        <w:tblInd w:w="0" w:type="dxa"/>
        <w:tblLayout w:type="fixed"/>
        <w:tblCellMar>
          <w:top w:w="0" w:type="dxa"/>
          <w:left w:w="0" w:type="dxa"/>
          <w:bottom w:w="0" w:type="dxa"/>
          <w:right w:w="0" w:type="dxa"/>
        </w:tblCellMar>
      </w:tblPr>
      <w:tblGrid>
        <w:gridCol w:w="7490"/>
        <w:gridCol w:w="60"/>
        <w:gridCol w:w="140"/>
        <w:gridCol w:w="1055"/>
        <w:gridCol w:w="95"/>
        <w:gridCol w:w="60"/>
        <w:gridCol w:w="140"/>
        <w:gridCol w:w="1055"/>
        <w:gridCol w:w="110"/>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A_20260331_zshgsfJW1nN7"/>
            <w:bookmarkEnd w:id="110"/>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9_20250331_zA7hLKci9Nwj"/>
            <w:bookmarkEnd w:id="111"/>
          </w:p>
        </w:tc>
        <w:tc>
          <w:tcPr>
            <w:tcW w:w="11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12" w:name="xdx_40E_eus-gaap--AssetsAbstract_iB_zBNG"/>
            <w:bookmarkEnd w:id="112"/>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7_eus-gaap--AssetsCurrentAbstract_"/>
            <w:bookmarkEnd w:id="113"/>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 w:name="xdx_40B_eus-gaap--CashAndCashEquivalents"/>
            <w:bookmarkEnd w:id="114"/>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112,012</w:t>
            </w:r>
          </w:p>
        </w:tc>
        <w:tc>
          <w:tcPr>
            <w:tcW w:w="110" w:type="dxa"/>
            <w:tcBorders/>
            <w:shd w:fill="CCEEFF" w:val="clear"/>
            <w:vAlign w:val="center"/>
          </w:tcPr>
          <w:p>
            <w:pPr>
              <w:pStyle w:val="TableContents"/>
              <w:bidi w:val="0"/>
              <w:spacing w:before="0" w:after="283"/>
              <w:jc w:val="left"/>
              <w:rPr/>
            </w:pPr>
            <w:r>
              <w:rPr/>
              <w:t> </w:t>
            </w:r>
            <w:bookmarkStart w:id="115" w:name="xdx_400_eus-gaap--AccountsReceivableNetC"/>
            <w:bookmarkEnd w:id="115"/>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21,412</w:t>
            </w:r>
          </w:p>
        </w:tc>
        <w:tc>
          <w:tcPr>
            <w:tcW w:w="110" w:type="dxa"/>
            <w:tcBorders/>
            <w:shd w:fill="FFFFFF" w:val="clear"/>
            <w:vAlign w:val="center"/>
          </w:tcPr>
          <w:p>
            <w:pPr>
              <w:pStyle w:val="TableContents"/>
              <w:bidi w:val="0"/>
              <w:spacing w:before="0" w:after="283"/>
              <w:jc w:val="left"/>
              <w:rPr/>
            </w:pPr>
            <w:r>
              <w:rPr/>
              <w:t> </w:t>
            </w:r>
            <w:bookmarkStart w:id="116" w:name="xdx_40F_eus-gaap--DeferredOfferingCosts_"/>
            <w:bookmarkEnd w:id="116"/>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131,035</w:t>
            </w:r>
          </w:p>
        </w:tc>
        <w:tc>
          <w:tcPr>
            <w:tcW w:w="110" w:type="dxa"/>
            <w:tcBorders/>
            <w:shd w:fill="CCEEFF" w:val="clear"/>
            <w:vAlign w:val="center"/>
          </w:tcPr>
          <w:p>
            <w:pPr>
              <w:pStyle w:val="TableContents"/>
              <w:bidi w:val="0"/>
              <w:spacing w:before="0" w:after="283"/>
              <w:jc w:val="left"/>
              <w:rPr/>
            </w:pPr>
            <w:r>
              <w:rPr/>
              <w:t> </w:t>
            </w:r>
            <w:bookmarkStart w:id="117" w:name="xdx_406_eus-gaap--PrepaidExpenseAndOther"/>
            <w:bookmarkEnd w:id="117"/>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13,041</w:t>
            </w:r>
          </w:p>
        </w:tc>
        <w:tc>
          <w:tcPr>
            <w:tcW w:w="110" w:type="dxa"/>
            <w:tcBorders/>
            <w:shd w:fill="FFFFFF" w:val="clear"/>
            <w:vAlign w:val="center"/>
          </w:tcPr>
          <w:p>
            <w:pPr>
              <w:pStyle w:val="TableContents"/>
              <w:bidi w:val="0"/>
              <w:spacing w:before="0" w:after="283"/>
              <w:jc w:val="left"/>
              <w:rPr/>
            </w:pPr>
            <w:r>
              <w:rPr/>
              <w:t> </w:t>
            </w:r>
            <w:bookmarkStart w:id="118" w:name="xdx_40F_eus-gaap--IncomeTaxReceivable_i0"/>
            <w:bookmarkEnd w:id="118"/>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A_eus-gaap--AssetsCurrent_i01TI_ma"/>
            <w:bookmarkEnd w:id="119"/>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277,500</w:t>
            </w:r>
          </w:p>
        </w:tc>
        <w:tc>
          <w:tcPr>
            <w:tcW w:w="110" w:type="dxa"/>
            <w:tcBorders/>
            <w:shd w:fill="FFFFFF" w:val="clear"/>
            <w:vAlign w:val="center"/>
          </w:tcPr>
          <w:p>
            <w:pPr>
              <w:pStyle w:val="TableContents"/>
              <w:bidi w:val="0"/>
              <w:spacing w:before="0" w:after="283"/>
              <w:jc w:val="left"/>
              <w:rPr/>
            </w:pPr>
            <w:r>
              <w:rPr/>
              <w:t> </w:t>
            </w:r>
            <w:bookmarkStart w:id="120" w:name="xdx_40F_eus-gaap--AssetsNoncurrentAbstra"/>
            <w:bookmarkEnd w:id="120"/>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1" w:name="xdx_409_eus-gaap--RestrictedCashNoncurre"/>
            <w:bookmarkEnd w:id="121"/>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19,470</w:t>
            </w:r>
          </w:p>
        </w:tc>
        <w:tc>
          <w:tcPr>
            <w:tcW w:w="110" w:type="dxa"/>
            <w:tcBorders/>
            <w:shd w:fill="FFFFFF" w:val="clear"/>
            <w:vAlign w:val="center"/>
          </w:tcPr>
          <w:p>
            <w:pPr>
              <w:pStyle w:val="TableContents"/>
              <w:bidi w:val="0"/>
              <w:spacing w:before="0" w:after="283"/>
              <w:jc w:val="left"/>
              <w:rPr/>
            </w:pPr>
            <w:r>
              <w:rPr/>
              <w:t> </w:t>
            </w:r>
            <w:bookmarkStart w:id="122" w:name="xdx_407_eus-gaap--PropertyPlantAndEquipm"/>
            <w:bookmarkEnd w:id="122"/>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6,946</w:t>
            </w:r>
          </w:p>
        </w:tc>
        <w:tc>
          <w:tcPr>
            <w:tcW w:w="110" w:type="dxa"/>
            <w:tcBorders/>
            <w:shd w:fill="CCEEFF" w:val="clear"/>
            <w:vAlign w:val="center"/>
          </w:tcPr>
          <w:p>
            <w:pPr>
              <w:pStyle w:val="TableContents"/>
              <w:bidi w:val="0"/>
              <w:spacing w:before="0" w:after="283"/>
              <w:jc w:val="left"/>
              <w:rPr/>
            </w:pPr>
            <w:r>
              <w:rPr/>
              <w:t> </w:t>
            </w:r>
            <w:bookmarkStart w:id="123" w:name="xdx_40D_eus-gaap--OperatingLeaseRightOfU"/>
            <w:bookmarkEnd w:id="123"/>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w:t>
            </w:r>
          </w:p>
        </w:tc>
        <w:tc>
          <w:tcPr>
            <w:tcW w:w="110" w:type="dxa"/>
            <w:tcBorders/>
            <w:shd w:fill="FFFFFF" w:val="clear"/>
            <w:vAlign w:val="center"/>
          </w:tcPr>
          <w:p>
            <w:pPr>
              <w:pStyle w:val="TableContents"/>
              <w:bidi w:val="0"/>
              <w:spacing w:before="0" w:after="283"/>
              <w:jc w:val="left"/>
              <w:rPr/>
            </w:pPr>
            <w:r>
              <w:rPr/>
              <w:t> </w:t>
            </w:r>
            <w:bookmarkStart w:id="124" w:name="xdx_400_eus-gaap--IntangibleAssetsNetExc"/>
            <w:bookmarkEnd w:id="124"/>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7,104</w:t>
            </w:r>
          </w:p>
        </w:tc>
        <w:tc>
          <w:tcPr>
            <w:tcW w:w="110" w:type="dxa"/>
            <w:tcBorders/>
            <w:shd w:fill="CCEEFF" w:val="clear"/>
            <w:vAlign w:val="center"/>
          </w:tcPr>
          <w:p>
            <w:pPr>
              <w:pStyle w:val="TableContents"/>
              <w:bidi w:val="0"/>
              <w:spacing w:before="0" w:after="283"/>
              <w:jc w:val="left"/>
              <w:rPr/>
            </w:pPr>
            <w:r>
              <w:rPr/>
              <w:t> </w:t>
            </w:r>
            <w:bookmarkStart w:id="125" w:name="xdx_406_eus-gaap--CryptoAssetFairValueNo"/>
            <w:bookmarkEnd w:id="125"/>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0E_eus-gaap--LongTermInvestments_i0"/>
            <w:bookmarkEnd w:id="126"/>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110" w:type="dxa"/>
            <w:tcBorders/>
            <w:shd w:fill="CCEEFF" w:val="clear"/>
            <w:vAlign w:val="center"/>
          </w:tcPr>
          <w:p>
            <w:pPr>
              <w:pStyle w:val="TableContents"/>
              <w:bidi w:val="0"/>
              <w:spacing w:before="0" w:after="283"/>
              <w:jc w:val="left"/>
              <w:rPr/>
            </w:pPr>
            <w:r>
              <w:rPr/>
              <w:t> </w:t>
            </w:r>
            <w:bookmarkStart w:id="127" w:name="xdx_40F_eus-gaap--OtherAssetsNoncurrent_"/>
            <w:bookmarkEnd w:id="127"/>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w:t>
            </w:r>
          </w:p>
        </w:tc>
        <w:tc>
          <w:tcPr>
            <w:tcW w:w="110" w:type="dxa"/>
            <w:tcBorders/>
            <w:shd w:fill="FFFFFF" w:val="clear"/>
            <w:vAlign w:val="center"/>
          </w:tcPr>
          <w:p>
            <w:pPr>
              <w:pStyle w:val="TableContents"/>
              <w:bidi w:val="0"/>
              <w:spacing w:before="0" w:after="283"/>
              <w:jc w:val="left"/>
              <w:rPr/>
            </w:pPr>
            <w:r>
              <w:rPr/>
              <w:t> </w:t>
            </w:r>
            <w:bookmarkStart w:id="128" w:name="xdx_40F_eus-gaap--Assets_iTI_mtAz84v_zv5"/>
            <w:bookmarkEnd w:id="128"/>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313,972</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9" w:name="xdx_402_eus-gaap--LiabilitiesAbstract_iB"/>
            <w:bookmarkEnd w:id="129"/>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0" w:name="xdx_40A_eus-gaap--LiabilitiesCurrentAbst"/>
            <w:bookmarkEnd w:id="130"/>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8_eus-gaap--AccountsPayableCurrent"/>
            <w:bookmarkEnd w:id="131"/>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113,962</w:t>
            </w:r>
          </w:p>
        </w:tc>
        <w:tc>
          <w:tcPr>
            <w:tcW w:w="110" w:type="dxa"/>
            <w:tcBorders/>
            <w:shd w:fill="CCEEFF" w:val="clear"/>
            <w:vAlign w:val="center"/>
          </w:tcPr>
          <w:p>
            <w:pPr>
              <w:pStyle w:val="TableContents"/>
              <w:bidi w:val="0"/>
              <w:spacing w:before="0" w:after="283"/>
              <w:jc w:val="left"/>
              <w:rPr/>
            </w:pPr>
            <w:r>
              <w:rPr/>
              <w:t> </w:t>
            </w:r>
            <w:bookmarkStart w:id="132" w:name="xdx_400_eus-gaap--OtherLiabilitiesCurren"/>
            <w:bookmarkEnd w:id="132"/>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58,150</w:t>
            </w:r>
          </w:p>
        </w:tc>
        <w:tc>
          <w:tcPr>
            <w:tcW w:w="110" w:type="dxa"/>
            <w:tcBorders/>
            <w:shd w:fill="FFFFFF" w:val="clear"/>
            <w:vAlign w:val="center"/>
          </w:tcPr>
          <w:p>
            <w:pPr>
              <w:pStyle w:val="TableContents"/>
              <w:bidi w:val="0"/>
              <w:spacing w:before="0" w:after="283"/>
              <w:jc w:val="left"/>
              <w:rPr/>
            </w:pPr>
            <w:r>
              <w:rPr/>
              <w:t> </w:t>
            </w:r>
            <w:bookmarkStart w:id="133" w:name="xdx_407_eus-gaap--AccruedLiabilitiesCurr"/>
            <w:bookmarkEnd w:id="133"/>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w:t>
            </w:r>
          </w:p>
        </w:tc>
        <w:tc>
          <w:tcPr>
            <w:tcW w:w="110" w:type="dxa"/>
            <w:tcBorders/>
            <w:shd w:fill="CCEEFF" w:val="clear"/>
            <w:vAlign w:val="center"/>
          </w:tcPr>
          <w:p>
            <w:pPr>
              <w:pStyle w:val="TableContents"/>
              <w:bidi w:val="0"/>
              <w:spacing w:before="0" w:after="283"/>
              <w:jc w:val="left"/>
              <w:rPr/>
            </w:pPr>
            <w:r>
              <w:rPr/>
              <w:t> </w:t>
            </w:r>
            <w:bookmarkStart w:id="134" w:name="xdx_40B_eus-gaap--ContractWithCustomerLi"/>
            <w:bookmarkEnd w:id="134"/>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351,937</w:t>
            </w:r>
          </w:p>
        </w:tc>
        <w:tc>
          <w:tcPr>
            <w:tcW w:w="110" w:type="dxa"/>
            <w:tcBorders/>
            <w:shd w:fill="FFFFFF" w:val="clear"/>
            <w:vAlign w:val="center"/>
          </w:tcPr>
          <w:p>
            <w:pPr>
              <w:pStyle w:val="TableContents"/>
              <w:bidi w:val="0"/>
              <w:spacing w:before="0" w:after="283"/>
              <w:jc w:val="left"/>
              <w:rPr/>
            </w:pPr>
            <w:r>
              <w:rPr/>
              <w:t> </w:t>
            </w:r>
            <w:bookmarkStart w:id="135" w:name="xdx_40E_eus-gaap--OperatingLeaseLiabilit"/>
            <w:bookmarkEnd w:id="135"/>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110" w:type="dxa"/>
            <w:tcBorders/>
            <w:shd w:fill="CCEEFF" w:val="clear"/>
            <w:vAlign w:val="center"/>
          </w:tcPr>
          <w:p>
            <w:pPr>
              <w:pStyle w:val="TableContents"/>
              <w:bidi w:val="0"/>
              <w:spacing w:before="0" w:after="283"/>
              <w:jc w:val="left"/>
              <w:rPr/>
            </w:pPr>
            <w:r>
              <w:rPr/>
              <w:t> </w:t>
            </w:r>
            <w:bookmarkStart w:id="136" w:name="xdx_402_eus-gaap--LiabilitiesCurrent_i02"/>
            <w:bookmarkEnd w:id="136"/>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526,065</w:t>
            </w:r>
          </w:p>
        </w:tc>
        <w:tc>
          <w:tcPr>
            <w:tcW w:w="110" w:type="dxa"/>
            <w:tcBorders/>
            <w:shd w:fill="FFFFFF" w:val="clear"/>
            <w:vAlign w:val="center"/>
          </w:tcPr>
          <w:p>
            <w:pPr>
              <w:pStyle w:val="TableContents"/>
              <w:bidi w:val="0"/>
              <w:spacing w:before="0" w:after="283"/>
              <w:jc w:val="left"/>
              <w:rPr/>
            </w:pPr>
            <w:r>
              <w:rPr/>
              <w:t> </w:t>
            </w:r>
            <w:bookmarkStart w:id="137" w:name="xdx_40C_eus-gaap--LiabilitiesNoncurrentA"/>
            <w:bookmarkEnd w:id="137"/>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 w:name="xdx_408_eus-gaap--OperatingLeaseLiabilit"/>
            <w:bookmarkEnd w:id="138"/>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w:t>
            </w:r>
          </w:p>
        </w:tc>
        <w:tc>
          <w:tcPr>
            <w:tcW w:w="110" w:type="dxa"/>
            <w:tcBorders/>
            <w:shd w:fill="FFFFFF" w:val="clear"/>
            <w:vAlign w:val="center"/>
          </w:tcPr>
          <w:p>
            <w:pPr>
              <w:pStyle w:val="TableContents"/>
              <w:bidi w:val="0"/>
              <w:spacing w:before="0" w:after="283"/>
              <w:jc w:val="left"/>
              <w:rPr/>
            </w:pPr>
            <w:r>
              <w:rPr/>
              <w:t> </w:t>
            </w:r>
            <w:bookmarkStart w:id="139" w:name="xdx_402_eus-gaap--ContractWithCustomerLi"/>
            <w:bookmarkEnd w:id="139"/>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412,996</w:t>
            </w:r>
          </w:p>
        </w:tc>
        <w:tc>
          <w:tcPr>
            <w:tcW w:w="110" w:type="dxa"/>
            <w:tcBorders/>
            <w:shd w:fill="CCEEFF" w:val="clear"/>
            <w:vAlign w:val="center"/>
          </w:tcPr>
          <w:p>
            <w:pPr>
              <w:pStyle w:val="TableContents"/>
              <w:bidi w:val="0"/>
              <w:spacing w:before="0" w:after="283"/>
              <w:jc w:val="left"/>
              <w:rPr/>
            </w:pPr>
            <w:r>
              <w:rPr/>
              <w:t> </w:t>
            </w:r>
            <w:bookmarkStart w:id="140" w:name="xdx_40E_eus-gaap--OtherLiabilitiesNoncur"/>
            <w:bookmarkEnd w:id="140"/>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25,817</w:t>
            </w:r>
          </w:p>
        </w:tc>
        <w:tc>
          <w:tcPr>
            <w:tcW w:w="110" w:type="dxa"/>
            <w:tcBorders/>
            <w:shd w:fill="FFFFFF" w:val="clear"/>
            <w:vAlign w:val="center"/>
          </w:tcPr>
          <w:p>
            <w:pPr>
              <w:pStyle w:val="TableContents"/>
              <w:bidi w:val="0"/>
              <w:spacing w:before="0" w:after="283"/>
              <w:jc w:val="left"/>
              <w:rPr/>
            </w:pPr>
            <w:r>
              <w:rPr/>
              <w:t> </w:t>
            </w:r>
            <w:bookmarkStart w:id="141" w:name="xdx_40C_eus-gaap--Liabilities_i02TI_mtLz"/>
            <w:bookmarkEnd w:id="141"/>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965,357</w:t>
            </w:r>
          </w:p>
        </w:tc>
        <w:tc>
          <w:tcPr>
            <w:tcW w:w="110" w:type="dxa"/>
            <w:tcBorders/>
            <w:shd w:fill="CCEEFF" w:val="clear"/>
            <w:vAlign w:val="center"/>
          </w:tcPr>
          <w:p>
            <w:pPr>
              <w:pStyle w:val="TableContents"/>
              <w:bidi w:val="0"/>
              <w:spacing w:before="0" w:after="283"/>
              <w:jc w:val="left"/>
              <w:rPr/>
            </w:pPr>
            <w:r>
              <w:rPr/>
              <w:t> </w:t>
            </w:r>
            <w:bookmarkStart w:id="142" w:name="xdx_404_eus-gaap--CommitmentsAndContinge"/>
            <w:bookmarkEnd w:id="142"/>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 and Contingencies (Note 10)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FFFFFF" w:val="clear"/>
            <w:vAlign w:val="center"/>
          </w:tcPr>
          <w:p>
            <w:pPr>
              <w:pStyle w:val="TableContents"/>
              <w:bidi w:val="0"/>
              <w:spacing w:before="0" w:after="283"/>
              <w:jc w:val="left"/>
              <w:rPr/>
            </w:pPr>
            <w:r>
              <w:rPr/>
              <w:t> </w:t>
            </w:r>
            <w:bookmarkStart w:id="143" w:name="xdx_40F_eus-gaap--StockholdersEquityAbst"/>
            <w:bookmarkEnd w:id="143"/>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8_eus-gaap--CommonStockValue_i02I_"/>
            <w:bookmarkEnd w:id="144"/>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JPY</w:t>
            </w:r>
            <w:bookmarkStart w:id="145" w:name="xdx_908_eus-gaap--CommonStockParOrStated"/>
            <w:bookmarkStart w:id="146" w:name="xdx_90F_eus-gaap--CommonStockParOrStated"/>
            <w:bookmarkEnd w:id="145"/>
            <w:bookmarkEnd w:id="146"/>
            <w:r>
              <w:rPr>
                <w:rFonts w:ascii="Times New Roman;Times;Serif" w:hAnsi="Times New Roman;Times;Serif"/>
              </w:rPr>
              <w:t xml:space="preserve">1.66667 par value - </w:t>
            </w:r>
            <w:bookmarkStart w:id="147" w:name="xdx_900_eus-gaap--CommonStockSharesAutho"/>
            <w:bookmarkStart w:id="148" w:name="xdx_905_eus-gaap--CommonStockSharesAutho"/>
            <w:bookmarkEnd w:id="147"/>
            <w:bookmarkEnd w:id="148"/>
            <w:r>
              <w:rPr>
                <w:rFonts w:ascii="Times New Roman;Times;Serif" w:hAnsi="Times New Roman;Times;Serif"/>
              </w:rPr>
              <w:t xml:space="preserve">168,000,000 shares authorized as of March 31, 2026 and 2025; </w:t>
            </w:r>
            <w:bookmarkStart w:id="149" w:name="xdx_902_eus-gaap--CommonStockSharesOutst"/>
            <w:bookmarkStart w:id="150" w:name="xdx_90E_eus-gaap--CommonStockSharesIssue"/>
            <w:bookmarkEnd w:id="149"/>
            <w:bookmarkEnd w:id="150"/>
            <w:r>
              <w:rPr>
                <w:rFonts w:ascii="Times New Roman;Times;Serif" w:hAnsi="Times New Roman;Times;Serif"/>
              </w:rPr>
              <w:t xml:space="preserve">45,960,000 shares and </w:t>
            </w:r>
            <w:bookmarkStart w:id="151" w:name="xdx_908_eus-gaap--CommonStockSharesOutst"/>
            <w:bookmarkStart w:id="152" w:name="xdx_90F_eus-gaap--CommonStockSharesIssue"/>
            <w:bookmarkEnd w:id="151"/>
            <w:bookmarkEnd w:id="152"/>
            <w:r>
              <w:rPr>
                <w:rFonts w:ascii="Times New Roman;Times;Serif" w:hAnsi="Times New Roman;Times;Serif"/>
              </w:rPr>
              <w:t>42,210,000 shares issued and outstanding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70,350</w:t>
            </w:r>
          </w:p>
        </w:tc>
        <w:tc>
          <w:tcPr>
            <w:tcW w:w="110" w:type="dxa"/>
            <w:tcBorders/>
            <w:shd w:fill="FFFFFF" w:val="clear"/>
            <w:vAlign w:val="center"/>
          </w:tcPr>
          <w:p>
            <w:pPr>
              <w:pStyle w:val="TableContents"/>
              <w:bidi w:val="0"/>
              <w:spacing w:before="0" w:after="283"/>
              <w:jc w:val="left"/>
              <w:rPr/>
            </w:pPr>
            <w:r>
              <w:rPr/>
              <w:t> </w:t>
            </w:r>
            <w:bookmarkStart w:id="153" w:name="xdx_40A_eus-gaap--AdditionalPaidInCapita"/>
            <w:bookmarkEnd w:id="153"/>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2,578,741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1,060,750</w:t>
            </w:r>
          </w:p>
        </w:tc>
        <w:tc>
          <w:tcPr>
            <w:tcW w:w="110" w:type="dxa"/>
            <w:tcBorders/>
            <w:shd w:fill="CCEEFF" w:val="clear"/>
            <w:vAlign w:val="center"/>
          </w:tcPr>
          <w:p>
            <w:pPr>
              <w:pStyle w:val="TableContents"/>
              <w:bidi w:val="0"/>
              <w:spacing w:before="0" w:after="283"/>
              <w:jc w:val="left"/>
              <w:rPr/>
            </w:pPr>
            <w:r>
              <w:rPr/>
              <w:t> </w:t>
            </w:r>
            <w:bookmarkStart w:id="154" w:name="xdx_401_eus-gaap--RetainedEarningsAccumu"/>
            <w:bookmarkEnd w:id="154"/>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(3,271,899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(1,782,485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 w:name="xdx_40A_eus-gaap--StockholdersEquity_i02"/>
            <w:bookmarkEnd w:id="155"/>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(616,558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(651,385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6" w:name="xdx_401_eus-gaap--LiabilitiesAndStockhol"/>
            <w:bookmarkEnd w:id="156"/>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&amp; Shareholders’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313,972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7" w:name="sp_002"/>
      <w:bookmarkEnd w:id="157"/>
      <w:r>
        <w:rPr>
          <w:rFonts w:ascii="Times New Roman;Times;Serif" w:hAnsi="Times New Roman;Times;Serif"/>
          <w:b/>
          <w:i w:val="false"/>
          <w:caps w:val="false"/>
          <w:smallCaps w:val="false"/>
          <w:sz w:val="20"/>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(Yen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 w:name="xdx_300_113_pn3n3_ztpSD4Cb3ol6"/>
      <w:bookmarkStart w:id="159" w:name="xdx_300_113_pn3n3_ztpSD4Cb3ol6"/>
      <w:bookmarkEnd w:id="159"/>
    </w:p>
    <w:tbl>
      <w:tblPr>
        <w:tblW w:w="10205" w:type="dxa"/>
        <w:jc w:val="left"/>
        <w:tblInd w:w="0" w:type="dxa"/>
        <w:tblLayout w:type="fixed"/>
        <w:tblCellMar>
          <w:top w:w="0" w:type="dxa"/>
          <w:left w:w="0" w:type="dxa"/>
          <w:bottom w:w="0" w:type="dxa"/>
          <w:right w:w="0" w:type="dxa"/>
        </w:tblCellMar>
      </w:tblPr>
      <w:tblGrid>
        <w:gridCol w:w="6005"/>
        <w:gridCol w:w="60"/>
        <w:gridCol w:w="140"/>
        <w:gridCol w:w="1100"/>
        <w:gridCol w:w="95"/>
        <w:gridCol w:w="60"/>
        <w:gridCol w:w="140"/>
        <w:gridCol w:w="1100"/>
        <w:gridCol w:w="95"/>
        <w:gridCol w:w="60"/>
        <w:gridCol w:w="140"/>
        <w:gridCol w:w="1100"/>
        <w:gridCol w:w="11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9F_20250401__20260331_zaRLkgfeUATd"/>
            <w:bookmarkEnd w:id="160"/>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91_20240401__20250331_zFUjTQAoqQPi"/>
            <w:bookmarkEnd w:id="16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93_20230401__20240331_zE4nZQkSKWDg"/>
            <w:bookmarkEnd w:id="162"/>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63" w:name="xdx_40F_eus-gaap--RevenueFromContractWit"/>
            <w:bookmarkEnd w:id="163"/>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693,104</w:t>
            </w:r>
          </w:p>
        </w:tc>
        <w:tc>
          <w:tcPr>
            <w:tcW w:w="110" w:type="dxa"/>
            <w:tcBorders/>
            <w:shd w:fill="CCEEFF" w:val="clear"/>
            <w:vAlign w:val="center"/>
          </w:tcPr>
          <w:p>
            <w:pPr>
              <w:pStyle w:val="TableContents"/>
              <w:bidi w:val="0"/>
              <w:spacing w:before="0" w:after="283"/>
              <w:jc w:val="left"/>
              <w:rPr/>
            </w:pPr>
            <w:r>
              <w:rPr/>
              <w:t> </w:t>
            </w:r>
            <w:bookmarkStart w:id="164" w:name="xdx_405_eus-gaap--CostOfRevenue_msGPzDQC"/>
            <w:bookmarkEnd w:id="164"/>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19,848</w:t>
            </w:r>
          </w:p>
        </w:tc>
        <w:tc>
          <w:tcPr>
            <w:tcW w:w="110" w:type="dxa"/>
            <w:tcBorders/>
            <w:shd w:fill="FFFFFF" w:val="clear"/>
            <w:vAlign w:val="center"/>
          </w:tcPr>
          <w:p>
            <w:pPr>
              <w:pStyle w:val="TableContents"/>
              <w:bidi w:val="0"/>
              <w:spacing w:before="0" w:after="283"/>
              <w:jc w:val="left"/>
              <w:rPr/>
            </w:pPr>
            <w:r>
              <w:rPr/>
              <w:t> </w:t>
            </w:r>
            <w:bookmarkStart w:id="165" w:name="xdx_403_eus-gaap--GrossProfit_iT_mtGPzDQ"/>
            <w:bookmarkEnd w:id="165"/>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673,256</w:t>
            </w:r>
          </w:p>
        </w:tc>
        <w:tc>
          <w:tcPr>
            <w:tcW w:w="110" w:type="dxa"/>
            <w:tcBorders/>
            <w:shd w:fill="CCEEFF" w:val="clear"/>
            <w:vAlign w:val="center"/>
          </w:tcPr>
          <w:p>
            <w:pPr>
              <w:pStyle w:val="TableContents"/>
              <w:bidi w:val="0"/>
              <w:spacing w:before="0" w:after="283"/>
              <w:jc w:val="left"/>
              <w:rPr/>
            </w:pPr>
            <w:r>
              <w:rPr/>
              <w:t> </w:t>
            </w:r>
            <w:bookmarkStart w:id="166" w:name="xdx_40A_eus-gaap--OperatingExpensesAbstr"/>
            <w:bookmarkEnd w:id="166"/>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5_eus-gaap--ResearchAndDevelopment"/>
            <w:bookmarkEnd w:id="167"/>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103,440</w:t>
            </w:r>
          </w:p>
        </w:tc>
        <w:tc>
          <w:tcPr>
            <w:tcW w:w="110" w:type="dxa"/>
            <w:tcBorders/>
            <w:shd w:fill="CCEEFF" w:val="clear"/>
            <w:vAlign w:val="center"/>
          </w:tcPr>
          <w:p>
            <w:pPr>
              <w:pStyle w:val="TableContents"/>
              <w:bidi w:val="0"/>
              <w:spacing w:before="0" w:after="283"/>
              <w:jc w:val="left"/>
              <w:rPr/>
            </w:pPr>
            <w:r>
              <w:rPr/>
              <w:t> </w:t>
            </w:r>
            <w:bookmarkStart w:id="168" w:name="xdx_40C_eus-gaap--SellingGeneralAndAdmin"/>
            <w:bookmarkEnd w:id="168"/>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1,221,614</w:t>
            </w:r>
          </w:p>
        </w:tc>
        <w:tc>
          <w:tcPr>
            <w:tcW w:w="110" w:type="dxa"/>
            <w:tcBorders/>
            <w:shd w:fill="FFFFFF" w:val="clear"/>
            <w:vAlign w:val="center"/>
          </w:tcPr>
          <w:p>
            <w:pPr>
              <w:pStyle w:val="TableContents"/>
              <w:bidi w:val="0"/>
              <w:spacing w:before="0" w:after="283"/>
              <w:jc w:val="left"/>
              <w:rPr/>
            </w:pPr>
            <w:r>
              <w:rPr/>
              <w:t> </w:t>
            </w:r>
            <w:bookmarkStart w:id="169" w:name="xdx_400_eus-gaap--OperatingExpenses_i01T"/>
            <w:bookmarkEnd w:id="169"/>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1,325,054</w:t>
            </w:r>
          </w:p>
        </w:tc>
        <w:tc>
          <w:tcPr>
            <w:tcW w:w="110" w:type="dxa"/>
            <w:tcBorders/>
            <w:shd w:fill="CCEEFF" w:val="clear"/>
            <w:vAlign w:val="center"/>
          </w:tcPr>
          <w:p>
            <w:pPr>
              <w:pStyle w:val="TableContents"/>
              <w:bidi w:val="0"/>
              <w:spacing w:before="0" w:after="283"/>
              <w:jc w:val="left"/>
              <w:rPr/>
            </w:pPr>
            <w:r>
              <w:rPr/>
              <w:t> </w:t>
            </w:r>
            <w:bookmarkStart w:id="170" w:name="xdx_40C_eus-gaap--OperatingIncomeLoss_iT"/>
            <w:bookmarkEnd w:id="170"/>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(1,478,897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(651,798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1" w:name="xdx_403_eus-gaap--NonoperatingIncomeExpe"/>
            <w:bookmarkEnd w:id="171"/>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2" w:name="xdx_40D_eus-gaap--InterestExpenseNonoper"/>
            <w:bookmarkEnd w:id="172"/>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2_eus-gaap--IncomeLossFromContinui"/>
            <w:bookmarkEnd w:id="173"/>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 w:name="xdx_40A_eus-gaap--IncomeTaxExpenseBenefi"/>
            <w:bookmarkEnd w:id="174"/>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C_eus-gaap--NetIncomeLoss_iT_mtNIL"/>
            <w:bookmarkEnd w:id="175"/>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76" w:name="xdx_905_eus-gaap--EarningsPerShareDilute"/>
            <w:bookmarkStart w:id="177" w:name="xdx_90A_eus-gaap--EarningsPerShareBasic_"/>
            <w:bookmarkEnd w:id="176"/>
            <w:bookmarkEnd w:id="177"/>
            <w:r>
              <w:rPr>
                <w:rFonts w:ascii="Times New Roman;Times;Serif" w:hAnsi="Times New Roman;Times;Serif"/>
              </w:rPr>
              <w:t>(33.2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78" w:name="xdx_903_eus-gaap--EarningsPerShareDilute"/>
            <w:bookmarkStart w:id="179" w:name="xdx_90B_eus-gaap--EarningsPerShareBasic_"/>
            <w:bookmarkEnd w:id="178"/>
            <w:bookmarkEnd w:id="179"/>
            <w:r>
              <w:rPr>
                <w:rFonts w:ascii="Times New Roman;Times;Serif" w:hAnsi="Times New Roman;Times;Serif"/>
              </w:rPr>
              <w:t>(12.7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80" w:name="xdx_907_eus-gaap--EarningsPerShareDilute"/>
            <w:bookmarkStart w:id="181" w:name="xdx_900_eus-gaap--EarningsPerShareBasic_"/>
            <w:bookmarkEnd w:id="180"/>
            <w:bookmarkEnd w:id="181"/>
            <w:r>
              <w:rPr>
                <w:rFonts w:ascii="Times New Roman;Times;Serif" w:hAnsi="Times New Roman;Times;Serif"/>
              </w:rPr>
              <w:t>(16.1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 used to compute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82" w:name="xdx_906_eus-gaap--WeightedAverageNumberO"/>
            <w:bookmarkStart w:id="183" w:name="xdx_906_eus-gaap--WeightedAverageNumberO"/>
            <w:bookmarkEnd w:id="182"/>
            <w:bookmarkEnd w:id="183"/>
            <w:r>
              <w:rPr>
                <w:rFonts w:ascii="Times New Roman;Times;Serif" w:hAnsi="Times New Roman;Times;Serif"/>
              </w:rPr>
              <w:t>44,870,959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84" w:name="xdx_90A_eus-gaap--WeightedAverageNumberO"/>
            <w:bookmarkStart w:id="185" w:name="xdx_90A_eus-gaap--WeightedAverageNumberO"/>
            <w:bookmarkEnd w:id="184"/>
            <w:bookmarkEnd w:id="185"/>
            <w:r>
              <w:rPr>
                <w:rFonts w:ascii="Times New Roman;Times;Serif" w:hAnsi="Times New Roman;Times;Serif"/>
              </w:rPr>
              <w:t>42,210,000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86" w:name="xdx_90D_eus-gaap--WeightedAverageNumberO"/>
            <w:bookmarkStart w:id="187" w:name="xdx_90D_eus-gaap--WeightedAverageNumberO"/>
            <w:bookmarkEnd w:id="186"/>
            <w:bookmarkEnd w:id="187"/>
            <w:r>
              <w:rPr>
                <w:rFonts w:ascii="Times New Roman;Times;Serif" w:hAnsi="Times New Roman;Times;Serif"/>
              </w:rPr>
              <w:t>41,127,797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8" w:name="sp_003"/>
      <w:bookmarkEnd w:id="188"/>
      <w:r>
        <w:rPr>
          <w:rFonts w:ascii="Times New Roman;Times;Serif" w:hAnsi="Times New Roman;Times;Serif"/>
          <w:b/>
          <w:i w:val="false"/>
          <w:caps w:val="false"/>
          <w:smallCaps w:val="false"/>
          <w:sz w:val="20"/>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STATEMENTS OF SHAREHOLDERS’ EQUITY/(DEFICIT)</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(Yen 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89" w:name="xdx_308_114_pn3n3_zAg8UPHSvjT7"/>
      <w:bookmarkStart w:id="190" w:name="xdx_308_114_pn3n3_zAg8UPHSvjT7"/>
      <w:bookmarkEnd w:id="190"/>
    </w:p>
    <w:tbl>
      <w:tblPr>
        <w:tblW w:w="10205" w:type="dxa"/>
        <w:jc w:val="left"/>
        <w:tblInd w:w="0" w:type="dxa"/>
        <w:tblLayout w:type="fixed"/>
        <w:tblCellMar>
          <w:top w:w="0" w:type="dxa"/>
          <w:left w:w="0" w:type="dxa"/>
          <w:bottom w:w="0" w:type="dxa"/>
          <w:right w:w="0" w:type="dxa"/>
        </w:tblCellMar>
      </w:tblPr>
      <w:tblGrid>
        <w:gridCol w:w="2098"/>
        <w:gridCol w:w="60"/>
        <w:gridCol w:w="60"/>
        <w:gridCol w:w="1100"/>
        <w:gridCol w:w="60"/>
        <w:gridCol w:w="60"/>
        <w:gridCol w:w="140"/>
        <w:gridCol w:w="695"/>
        <w:gridCol w:w="60"/>
        <w:gridCol w:w="60"/>
        <w:gridCol w:w="140"/>
        <w:gridCol w:w="980"/>
        <w:gridCol w:w="60"/>
        <w:gridCol w:w="60"/>
        <w:gridCol w:w="204"/>
        <w:gridCol w:w="1106"/>
        <w:gridCol w:w="95"/>
        <w:gridCol w:w="60"/>
        <w:gridCol w:w="160"/>
        <w:gridCol w:w="1210"/>
        <w:gridCol w:w="95"/>
        <w:gridCol w:w="60"/>
        <w:gridCol w:w="171"/>
        <w:gridCol w:w="1299"/>
        <w:gridCol w:w="112"/>
      </w:tblGrid>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91" w:name="xdx_4B2_us-gaap--StatementEquityComponen"/>
            <w:bookmarkEnd w:id="191"/>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92" w:name="xdx_4BE_us-gaap--StatementEquityComponen"/>
            <w:bookmarkEnd w:id="192"/>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93" w:name="xdx_4B0_us-gaap--StatementEquityComponen"/>
            <w:bookmarkEnd w:id="193"/>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Receivable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94" w:name="xdx_4B1_us-gaap--StatementEquityComponen"/>
            <w:bookmarkEnd w:id="194"/>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95" w:name="xdx_4BB_zAaGH06yV9a9"/>
            <w:bookmarkEnd w:id="195"/>
          </w:p>
        </w:tc>
        <w:tc>
          <w:tcPr>
            <w:tcW w:w="14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shd w:fill="FFFFFF" w:val="clear"/>
            <w:vAlign w:val="center"/>
          </w:tcPr>
          <w:p>
            <w:pPr>
              <w:pStyle w:val="TableContents"/>
              <w:bidi w:val="0"/>
              <w:spacing w:before="0" w:after="283"/>
              <w:jc w:val="center"/>
              <w:rPr/>
            </w:pPr>
            <w:r>
              <w:rPr/>
              <w:t> </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115" w:type="dxa"/>
            <w:gridSpan w:val="6"/>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Class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106"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21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7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Shareholders’</w:t>
            </w:r>
          </w:p>
        </w:tc>
        <w:tc>
          <w:tcPr>
            <w:tcW w:w="112" w:type="dxa"/>
            <w:tcBorders/>
            <w:shd w:fill="FFFFFF" w:val="clear"/>
            <w:vAlign w:val="center"/>
          </w:tcPr>
          <w:p>
            <w:pPr>
              <w:pStyle w:val="TableContents"/>
              <w:bidi w:val="0"/>
              <w:spacing w:before="0" w:after="283"/>
              <w:jc w:val="center"/>
              <w:rPr/>
            </w:pPr>
            <w:r>
              <w:rPr/>
              <w:t> </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11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1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Subscription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7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70" w:type="dxa"/>
            <w:gridSpan w:val="2"/>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2" w:type="dxa"/>
            <w:tcBorders/>
            <w:shd w:fill="FFFFFF" w:val="clear"/>
            <w:vAlign w:val="center"/>
          </w:tcPr>
          <w:p>
            <w:pPr>
              <w:pStyle w:val="TableContents"/>
              <w:bidi w:val="0"/>
              <w:spacing w:before="0" w:after="283"/>
              <w:jc w:val="center"/>
              <w:rPr/>
            </w:pPr>
            <w:r>
              <w:rPr/>
              <w:t> </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Receivable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shd w:fill="FFFFFF" w:val="clear"/>
            <w:vAlign w:val="center"/>
          </w:tcPr>
          <w:p>
            <w:pPr>
              <w:pStyle w:val="TableContents"/>
              <w:bidi w:val="0"/>
              <w:spacing w:before="0" w:after="283"/>
              <w:jc w:val="center"/>
              <w:rPr/>
            </w:pPr>
            <w:r>
              <w:rPr/>
              <w:t> </w:t>
            </w:r>
            <w:bookmarkStart w:id="196" w:name="xdx_439_c20230401__20240331_eus-gaap--St"/>
            <w:bookmarkEnd w:id="196"/>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F_eus-gaap--SharesOutstanding_iS_p"/>
            <w:bookmarkEnd w:id="19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(585,834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176,832</w:t>
            </w:r>
          </w:p>
        </w:tc>
        <w:tc>
          <w:tcPr>
            <w:tcW w:w="112" w:type="dxa"/>
            <w:tcBorders/>
            <w:shd w:fill="CCEEFF" w:val="clear"/>
            <w:vAlign w:val="center"/>
          </w:tcPr>
          <w:p>
            <w:pPr>
              <w:pStyle w:val="TableContents"/>
              <w:bidi w:val="0"/>
              <w:spacing w:before="0" w:after="283"/>
              <w:jc w:val="left"/>
              <w:rPr/>
            </w:pPr>
            <w:r>
              <w:rPr/>
              <w:t> </w:t>
            </w:r>
            <w:bookmarkStart w:id="198" w:name="xdx_403_eus-gaap--StockIssuedDuringPerio"/>
            <w:bookmarkEnd w:id="198"/>
          </w:p>
        </w:tc>
      </w:tr>
      <w:tr>
        <w:trPr/>
        <w:tc>
          <w:tcPr>
            <w:tcW w:w="20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9" w:name="xdx_981_eus-gaap--StockIssuedDuringPerio"/>
            <w:bookmarkEnd w:id="19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338,600</w:t>
            </w:r>
          </w:p>
        </w:tc>
        <w:tc>
          <w:tcPr>
            <w:tcW w:w="112" w:type="dxa"/>
            <w:tcBorders/>
            <w:shd w:fill="FFFFFF" w:val="clear"/>
            <w:vAlign w:val="center"/>
          </w:tcPr>
          <w:p>
            <w:pPr>
              <w:pStyle w:val="TableContents"/>
              <w:bidi w:val="0"/>
              <w:spacing w:before="0" w:after="283"/>
              <w:jc w:val="left"/>
              <w:rPr/>
            </w:pPr>
            <w:r>
              <w:rPr/>
              <w:t> </w:t>
            </w:r>
            <w:bookmarkStart w:id="200" w:name="xdx_409_ecustom--StockIssuedDuringPeriod"/>
            <w:bookmarkEnd w:id="200"/>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receipt for 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29,834</w:t>
            </w:r>
          </w:p>
        </w:tc>
        <w:tc>
          <w:tcPr>
            <w:tcW w:w="112" w:type="dxa"/>
            <w:tcBorders/>
            <w:shd w:fill="CCEEFF" w:val="clear"/>
            <w:vAlign w:val="center"/>
          </w:tcPr>
          <w:p>
            <w:pPr>
              <w:pStyle w:val="TableContents"/>
              <w:bidi w:val="0"/>
              <w:spacing w:before="0" w:after="283"/>
              <w:jc w:val="left"/>
              <w:rPr/>
            </w:pPr>
            <w:r>
              <w:rPr/>
              <w:t> </w:t>
            </w:r>
            <w:bookmarkStart w:id="201" w:name="xdx_40A_eus-gaap--NetIncomeLoss_zZsHMEB0"/>
            <w:bookmarkEnd w:id="201"/>
          </w:p>
        </w:tc>
      </w:tr>
      <w:tr>
        <w:trPr/>
        <w:tc>
          <w:tcPr>
            <w:tcW w:w="20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2" w:name="xdx_431_c20240401__20250331_eus-gaap--St"/>
            <w:bookmarkEnd w:id="202"/>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3" w:name="xdx_98D_eus-gaap--SharesOutstanding_iS_p"/>
            <w:bookmarkEnd w:id="20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(1,247,800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A_eus-gaap--NetIncomeLoss_zvAGFxDQ"/>
            <w:bookmarkEnd w:id="204"/>
          </w:p>
        </w:tc>
      </w:tr>
      <w:tr>
        <w:trPr/>
        <w:tc>
          <w:tcPr>
            <w:tcW w:w="20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35_c20250401__20260331_eus-gaap--St"/>
            <w:bookmarkEnd w:id="205"/>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06" w:name="xdx_98F_eus-gaap--SharesOutstanding_iS_p"/>
            <w:bookmarkEnd w:id="20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(1,782,485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(651,385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 w:name="xdx_408_eus-gaap--StockIssuedDuringPerio"/>
            <w:bookmarkEnd w:id="207"/>
          </w:p>
        </w:tc>
      </w:tr>
      <w:tr>
        <w:trPr/>
        <w:tc>
          <w:tcPr>
            <w:tcW w:w="20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upon initial public offering, net off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8" w:name="xdx_98B_eus-gaap--StockIssuedDuringPerio"/>
            <w:bookmarkEnd w:id="20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1,507,873</w:t>
            </w:r>
          </w:p>
        </w:tc>
        <w:tc>
          <w:tcPr>
            <w:tcW w:w="112" w:type="dxa"/>
            <w:tcBorders/>
            <w:shd w:fill="FFFFFF" w:val="clear"/>
            <w:vAlign w:val="center"/>
          </w:tcPr>
          <w:p>
            <w:pPr>
              <w:pStyle w:val="TableContents"/>
              <w:bidi w:val="0"/>
              <w:spacing w:before="0" w:after="283"/>
              <w:jc w:val="left"/>
              <w:rPr/>
            </w:pPr>
            <w:r>
              <w:rPr/>
              <w:t> </w:t>
            </w:r>
            <w:bookmarkStart w:id="209" w:name="xdx_40D_eus-gaap--AdjustmentsToAdditiona"/>
            <w:bookmarkEnd w:id="209"/>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16,368</w:t>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10" w:name="xdx_40A_eus-gaap--NetIncomeLoss_zTCYisxZ"/>
            <w:bookmarkStart w:id="211" w:name="xdx_40A_eus-gaap--NetIncomeLoss_zTCYisxZ"/>
            <w:bookmarkEnd w:id="211"/>
          </w:p>
        </w:tc>
      </w:tr>
      <w:tr>
        <w:trPr/>
        <w:tc>
          <w:tcPr>
            <w:tcW w:w="20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 w:name="xdx_432_c20250401__20260331_eus-gaap--St"/>
            <w:bookmarkEnd w:id="212"/>
          </w:p>
        </w:tc>
      </w:tr>
      <w:tr>
        <w:trPr/>
        <w:tc>
          <w:tcPr>
            <w:tcW w:w="20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 w:name="xdx_986_eus-gaap--SharesOutstanding_iE_p"/>
            <w:bookmarkEnd w:id="21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2,578,741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(3,271,899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(616,558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4" w:name="sp_004"/>
      <w:bookmarkEnd w:id="214"/>
      <w:r>
        <w:rPr>
          <w:rFonts w:ascii="Times New Roman;Times;Serif" w:hAnsi="Times New Roman;Times;Serif"/>
          <w:b/>
          <w:i w:val="false"/>
          <w:caps w:val="false"/>
          <w:smallCaps w:val="false"/>
          <w:sz w:val="20"/>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(Yen 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15" w:name="xdx_308_112_pn3n3_z7o1X8jQgWG5"/>
      <w:bookmarkStart w:id="216" w:name="xdx_308_112_pn3n3_z7o1X8jQgWG5"/>
      <w:bookmarkEnd w:id="216"/>
    </w:p>
    <w:tbl>
      <w:tblPr>
        <w:tblW w:w="10205" w:type="dxa"/>
        <w:jc w:val="left"/>
        <w:tblInd w:w="0" w:type="dxa"/>
        <w:tblLayout w:type="fixed"/>
        <w:tblCellMar>
          <w:top w:w="0" w:type="dxa"/>
          <w:left w:w="0" w:type="dxa"/>
          <w:bottom w:w="0" w:type="dxa"/>
          <w:right w:w="0" w:type="dxa"/>
        </w:tblCellMar>
      </w:tblPr>
      <w:tblGrid>
        <w:gridCol w:w="4805"/>
        <w:gridCol w:w="60"/>
        <w:gridCol w:w="140"/>
        <w:gridCol w:w="1700"/>
        <w:gridCol w:w="95"/>
        <w:gridCol w:w="60"/>
        <w:gridCol w:w="140"/>
        <w:gridCol w:w="1400"/>
        <w:gridCol w:w="95"/>
        <w:gridCol w:w="60"/>
        <w:gridCol w:w="140"/>
        <w:gridCol w:w="1400"/>
        <w:gridCol w:w="11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94_20250401__20260331_zeiyIxFK8MFa"/>
            <w:bookmarkEnd w:id="217"/>
          </w:p>
        </w:tc>
        <w:tc>
          <w:tcPr>
            <w:tcW w:w="1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92_20240401__20250331_z8GKQJMVIcbh"/>
            <w:bookmarkEnd w:id="218"/>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 w:name="xdx_491_20230401__20240331_zTV38nH8uUYj"/>
            <w:bookmarkEnd w:id="219"/>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20" w:name="xdx_402_eus-gaap--NetCashProvidedByUsedI"/>
            <w:bookmarkEnd w:id="22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1" w:name="xdx_403_eus-gaap--NetIncomeLoss_i01_maNC"/>
            <w:bookmarkEnd w:id="22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E_eus-gaap--AdjustmentsToReconcile"/>
            <w:bookmarkEnd w:id="22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3" w:name="xdx_400_eus-gaap--DepreciationAndAmortiz"/>
            <w:bookmarkEnd w:id="22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w:t>
            </w:r>
          </w:p>
        </w:tc>
        <w:tc>
          <w:tcPr>
            <w:tcW w:w="110" w:type="dxa"/>
            <w:tcBorders/>
            <w:shd w:fill="FFFFFF" w:val="clear"/>
            <w:vAlign w:val="center"/>
          </w:tcPr>
          <w:p>
            <w:pPr>
              <w:pStyle w:val="TableContents"/>
              <w:bidi w:val="0"/>
              <w:spacing w:before="0" w:after="283"/>
              <w:jc w:val="left"/>
              <w:rPr/>
            </w:pPr>
            <w:r>
              <w:rPr/>
              <w:t> </w:t>
            </w:r>
            <w:bookmarkStart w:id="224" w:name="xdx_400_ecustom--NoncashLeaseExpenses_i0"/>
            <w:bookmarkEnd w:id="22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6,179</w:t>
            </w:r>
          </w:p>
        </w:tc>
        <w:tc>
          <w:tcPr>
            <w:tcW w:w="110" w:type="dxa"/>
            <w:tcBorders/>
            <w:shd w:fill="CCEEFF" w:val="clear"/>
            <w:vAlign w:val="center"/>
          </w:tcPr>
          <w:p>
            <w:pPr>
              <w:pStyle w:val="TableContents"/>
              <w:bidi w:val="0"/>
              <w:spacing w:before="0" w:after="283"/>
              <w:jc w:val="left"/>
              <w:rPr/>
            </w:pPr>
            <w:r>
              <w:rPr/>
              <w:t> </w:t>
            </w:r>
            <w:bookmarkStart w:id="225" w:name="xdx_401_eus-gaap--GainLossOnInvestments_"/>
            <w:bookmarkEnd w:id="22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10" w:type="dxa"/>
            <w:tcBorders/>
            <w:shd w:fill="FFFFFF" w:val="clear"/>
            <w:vAlign w:val="center"/>
          </w:tcPr>
          <w:p>
            <w:pPr>
              <w:pStyle w:val="TableContents"/>
              <w:bidi w:val="0"/>
              <w:spacing w:before="0" w:after="283"/>
              <w:jc w:val="left"/>
              <w:rPr/>
            </w:pPr>
            <w:r>
              <w:rPr/>
              <w:t> </w:t>
            </w:r>
            <w:bookmarkStart w:id="226" w:name="xdx_40E_eus-gaap--ProvisionForDoubtfulAc"/>
            <w:bookmarkEnd w:id="226"/>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7" w:name="xdx_401_eus-gaap--StockOptionPlanExpense"/>
            <w:bookmarkEnd w:id="227"/>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0B_eus-gaap--CryptoAssetRealizedLos"/>
            <w:bookmarkEnd w:id="228"/>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remeasurement of crypto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9" w:name="xdx_40B_eus-gaap--IncreaseDecreaseInOper"/>
            <w:bookmarkEnd w:id="22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1_eus-gaap--IncreaseDecreaseInAcco"/>
            <w:bookmarkEnd w:id="23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(139,705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1" w:name="xdx_401_eus-gaap--IncreaseDecreaseInAcco"/>
            <w:bookmarkEnd w:id="23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E_eus-gaap--IncreaseDecreaseInInco"/>
            <w:bookmarkEnd w:id="23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  </w:t>
            </w:r>
          </w:p>
        </w:tc>
        <w:tc>
          <w:tcPr>
            <w:tcW w:w="110" w:type="dxa"/>
            <w:tcBorders/>
            <w:shd w:fill="CCEEFF" w:val="clear"/>
            <w:vAlign w:val="center"/>
          </w:tcPr>
          <w:p>
            <w:pPr>
              <w:pStyle w:val="TableContents"/>
              <w:bidi w:val="0"/>
              <w:spacing w:before="0" w:after="283"/>
              <w:jc w:val="left"/>
              <w:rPr/>
            </w:pPr>
            <w:r>
              <w:rPr/>
              <w:t> </w:t>
            </w:r>
            <w:bookmarkStart w:id="233" w:name="xdx_400_eus-gaap--IncreaseDecreaseInPrep"/>
            <w:bookmarkEnd w:id="23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(51,507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4" w:name="xdx_40A_eus-gaap--IncreaseDecreaseInOthe"/>
            <w:bookmarkEnd w:id="23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5" w:name="xdx_407_eus-gaap--IncreaseDecreaseInAcco"/>
            <w:bookmarkEnd w:id="23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220,609</w:t>
            </w:r>
          </w:p>
        </w:tc>
        <w:tc>
          <w:tcPr>
            <w:tcW w:w="110" w:type="dxa"/>
            <w:tcBorders/>
            <w:shd w:fill="FFFFFF" w:val="clear"/>
            <w:vAlign w:val="center"/>
          </w:tcPr>
          <w:p>
            <w:pPr>
              <w:pStyle w:val="TableContents"/>
              <w:bidi w:val="0"/>
              <w:spacing w:before="0" w:after="283"/>
              <w:jc w:val="left"/>
              <w:rPr/>
            </w:pPr>
            <w:r>
              <w:rPr/>
              <w:t> </w:t>
            </w:r>
            <w:bookmarkStart w:id="236" w:name="xdx_402_eus-gaap--IncreaseDecreaseInDefe"/>
            <w:bookmarkEnd w:id="236"/>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175,942</w:t>
            </w:r>
          </w:p>
        </w:tc>
        <w:tc>
          <w:tcPr>
            <w:tcW w:w="110" w:type="dxa"/>
            <w:tcBorders/>
            <w:shd w:fill="CCEEFF" w:val="clear"/>
            <w:vAlign w:val="center"/>
          </w:tcPr>
          <w:p>
            <w:pPr>
              <w:pStyle w:val="TableContents"/>
              <w:bidi w:val="0"/>
              <w:spacing w:before="0" w:after="283"/>
              <w:jc w:val="left"/>
              <w:rPr/>
            </w:pPr>
            <w:r>
              <w:rPr/>
              <w:t> </w:t>
            </w:r>
            <w:bookmarkStart w:id="237" w:name="xdx_40E_eus-gaap--IncreaseDecreaseInOper"/>
            <w:bookmarkEnd w:id="237"/>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8" w:name="xdx_40A_eus-gaap--IncreaseDecreaseInOthe"/>
            <w:bookmarkEnd w:id="238"/>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                 — </w:t>
            </w:r>
          </w:p>
        </w:tc>
        <w:tc>
          <w:tcPr>
            <w:tcW w:w="110" w:type="dxa"/>
            <w:tcBorders/>
            <w:shd w:fill="CCEEFF" w:val="clear"/>
            <w:vAlign w:val="center"/>
          </w:tcPr>
          <w:p>
            <w:pPr>
              <w:pStyle w:val="TableContents"/>
              <w:bidi w:val="0"/>
              <w:spacing w:before="0" w:after="283"/>
              <w:jc w:val="left"/>
              <w:rPr/>
            </w:pPr>
            <w:r>
              <w:rPr/>
              <w:t> </w:t>
            </w:r>
            <w:bookmarkStart w:id="239" w:name="xdx_406_eus-gaap--NetCashProvidedByUsedI"/>
            <w:bookmarkEnd w:id="23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(1,242,423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(283,019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(317,058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0" w:name="xdx_409_eus-gaap--NetCashProvidedByUsedI"/>
            <w:bookmarkEnd w:id="24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F_eus-gaap--PaymentsToAcquirePrope"/>
            <w:bookmarkEnd w:id="24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2" w:name="xdx_40E_eus-gaap--PaymentsToAcquireIntan"/>
            <w:bookmarkEnd w:id="24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3" w:name="xdx_408_eus-gaap--PaymentsToAcquireInves"/>
            <w:bookmarkEnd w:id="24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400_eus-gaap--ProceedsFromSaleOfInve"/>
            <w:bookmarkEnd w:id="24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sales of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w:t>
            </w:r>
          </w:p>
        </w:tc>
        <w:tc>
          <w:tcPr>
            <w:tcW w:w="110" w:type="dxa"/>
            <w:tcBorders/>
            <w:shd w:fill="CCEEFF" w:val="clear"/>
            <w:vAlign w:val="center"/>
          </w:tcPr>
          <w:p>
            <w:pPr>
              <w:pStyle w:val="TableContents"/>
              <w:bidi w:val="0"/>
              <w:spacing w:before="0" w:after="283"/>
              <w:jc w:val="left"/>
              <w:rPr/>
            </w:pPr>
            <w:r>
              <w:rPr/>
              <w:t> </w:t>
            </w:r>
            <w:bookmarkStart w:id="245" w:name="xdx_40E_eus-gaap--PaymentForAcquisitionC"/>
            <w:bookmarkEnd w:id="24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crypto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                 — </w:t>
            </w:r>
          </w:p>
        </w:tc>
        <w:tc>
          <w:tcPr>
            <w:tcW w:w="110" w:type="dxa"/>
            <w:tcBorders/>
            <w:shd w:fill="FFFFFF" w:val="clear"/>
            <w:vAlign w:val="center"/>
          </w:tcPr>
          <w:p>
            <w:pPr>
              <w:pStyle w:val="TableContents"/>
              <w:bidi w:val="0"/>
              <w:spacing w:before="0" w:after="283"/>
              <w:jc w:val="left"/>
              <w:rPr/>
            </w:pPr>
            <w:r>
              <w:rPr/>
              <w:t> </w:t>
            </w:r>
            <w:bookmarkStart w:id="246" w:name="xdx_40A_eus-gaap--NetCashProvidedByUsedI"/>
            <w:bookmarkEnd w:id="246"/>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7" w:name="xdx_40B_eus-gaap--NetCashProvidedByUsedI"/>
            <w:bookmarkEnd w:id="247"/>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4_eus-gaap--PaymentsOfFinancingCos"/>
            <w:bookmarkEnd w:id="248"/>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(131,182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9" w:name="xdx_402_eus-gaap--ProceedsFromIssuanceOf"/>
            <w:bookmarkEnd w:id="24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stock issuance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338,600</w:t>
            </w:r>
          </w:p>
        </w:tc>
        <w:tc>
          <w:tcPr>
            <w:tcW w:w="110" w:type="dxa"/>
            <w:tcBorders/>
            <w:shd w:fill="FFFFFF" w:val="clear"/>
            <w:vAlign w:val="center"/>
          </w:tcPr>
          <w:p>
            <w:pPr>
              <w:pStyle w:val="TableContents"/>
              <w:bidi w:val="0"/>
              <w:spacing w:before="0" w:after="283"/>
              <w:jc w:val="left"/>
              <w:rPr/>
            </w:pPr>
            <w:r>
              <w:rPr/>
              <w:t> </w:t>
            </w:r>
            <w:bookmarkStart w:id="250" w:name="xdx_409_eus-gaap--ProceedsFromOtherEquit"/>
            <w:bookmarkEnd w:id="25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29,834</w:t>
            </w:r>
          </w:p>
        </w:tc>
        <w:tc>
          <w:tcPr>
            <w:tcW w:w="110" w:type="dxa"/>
            <w:tcBorders/>
            <w:shd w:fill="CCEEFF" w:val="clear"/>
            <w:vAlign w:val="center"/>
          </w:tcPr>
          <w:p>
            <w:pPr>
              <w:pStyle w:val="TableContents"/>
              <w:bidi w:val="0"/>
              <w:spacing w:before="0" w:after="283"/>
              <w:jc w:val="left"/>
              <w:rPr/>
            </w:pPr>
            <w:r>
              <w:rPr/>
              <w:t> </w:t>
            </w:r>
            <w:bookmarkStart w:id="251" w:name="xdx_40F_ecustom--ProceedsFromIssuanceOfS"/>
            <w:bookmarkEnd w:id="25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                 — </w:t>
            </w:r>
          </w:p>
        </w:tc>
        <w:tc>
          <w:tcPr>
            <w:tcW w:w="110" w:type="dxa"/>
            <w:tcBorders/>
            <w:shd w:fill="FFFFFF" w:val="clear"/>
            <w:vAlign w:val="center"/>
          </w:tcPr>
          <w:p>
            <w:pPr>
              <w:pStyle w:val="TableContents"/>
              <w:bidi w:val="0"/>
              <w:spacing w:before="0" w:after="283"/>
              <w:jc w:val="left"/>
              <w:rPr/>
            </w:pPr>
            <w:r>
              <w:rPr/>
              <w:t> </w:t>
            </w:r>
            <w:bookmarkStart w:id="252" w:name="xdx_40C_eus-gaap--NetCashProvidedByUsedI"/>
            <w:bookmarkEnd w:id="25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346,419</w:t>
            </w:r>
          </w:p>
        </w:tc>
        <w:tc>
          <w:tcPr>
            <w:tcW w:w="110" w:type="dxa"/>
            <w:tcBorders/>
            <w:shd w:fill="CCEEFF" w:val="clear"/>
            <w:vAlign w:val="center"/>
          </w:tcPr>
          <w:p>
            <w:pPr>
              <w:pStyle w:val="TableContents"/>
              <w:bidi w:val="0"/>
              <w:spacing w:before="0" w:after="283"/>
              <w:jc w:val="left"/>
              <w:rPr/>
            </w:pPr>
            <w:r>
              <w:rPr/>
              <w:t> </w:t>
            </w:r>
            <w:bookmarkStart w:id="253" w:name="xdx_402_eus-gaap--CashCashEquivalentsRes"/>
            <w:bookmarkEnd w:id="25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(359,636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20,473</w:t>
            </w:r>
          </w:p>
        </w:tc>
        <w:tc>
          <w:tcPr>
            <w:tcW w:w="110" w:type="dxa"/>
            <w:tcBorders/>
            <w:shd w:fill="FFFFFF" w:val="clear"/>
            <w:vAlign w:val="center"/>
          </w:tcPr>
          <w:p>
            <w:pPr>
              <w:pStyle w:val="TableContents"/>
              <w:bidi w:val="0"/>
              <w:spacing w:before="0" w:after="283"/>
              <w:jc w:val="left"/>
              <w:rPr/>
            </w:pPr>
            <w:r>
              <w:rPr/>
              <w:t> </w:t>
            </w:r>
            <w:bookmarkStart w:id="254" w:name="xdx_402_eus-gaap--CashCashEquivalentsRes"/>
            <w:bookmarkEnd w:id="25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470,645</w:t>
            </w:r>
          </w:p>
        </w:tc>
        <w:tc>
          <w:tcPr>
            <w:tcW w:w="110" w:type="dxa"/>
            <w:tcBorders/>
            <w:shd w:fill="CCEEFF" w:val="clear"/>
            <w:vAlign w:val="center"/>
          </w:tcPr>
          <w:p>
            <w:pPr>
              <w:pStyle w:val="TableContents"/>
              <w:bidi w:val="0"/>
              <w:spacing w:before="0" w:after="283"/>
              <w:jc w:val="left"/>
              <w:rPr/>
            </w:pPr>
            <w:r>
              <w:rPr/>
              <w:t> </w:t>
            </w:r>
            <w:bookmarkStart w:id="255" w:name="xdx_406_eus-gaap--CashCashEquivalentsRes"/>
            <w:bookmarkEnd w:id="25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end of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491,118</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6" w:name="xdx_406_eus-gaap--CashCashEquivalentsRes"/>
            <w:bookmarkEnd w:id="256"/>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07_eus-gaap--CashAndCashEquivalents"/>
            <w:bookmarkEnd w:id="257"/>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471,648</w:t>
            </w:r>
          </w:p>
        </w:tc>
        <w:tc>
          <w:tcPr>
            <w:tcW w:w="110" w:type="dxa"/>
            <w:tcBorders/>
            <w:shd w:fill="CCEEFF" w:val="clear"/>
            <w:vAlign w:val="center"/>
          </w:tcPr>
          <w:p>
            <w:pPr>
              <w:pStyle w:val="TableContents"/>
              <w:bidi w:val="0"/>
              <w:spacing w:before="0" w:after="283"/>
              <w:jc w:val="left"/>
              <w:rPr/>
            </w:pPr>
            <w:r>
              <w:rPr/>
              <w:t> </w:t>
            </w:r>
            <w:bookmarkStart w:id="258" w:name="xdx_406_eus-gaap--RestrictedCashAndCashE"/>
            <w:bookmarkEnd w:id="258"/>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pPr>
            <w:r>
              <w:rPr/>
              <w:t>                       —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19,470</w:t>
            </w:r>
          </w:p>
        </w:tc>
        <w:tc>
          <w:tcPr>
            <w:tcW w:w="110" w:type="dxa"/>
            <w:tcBorders/>
            <w:shd w:fill="FFFFFF" w:val="clear"/>
            <w:vAlign w:val="center"/>
          </w:tcPr>
          <w:p>
            <w:pPr>
              <w:pStyle w:val="TableContents"/>
              <w:bidi w:val="0"/>
              <w:spacing w:before="0" w:after="283"/>
              <w:jc w:val="left"/>
              <w:rPr/>
            </w:pPr>
            <w:r>
              <w:rPr/>
              <w:t> </w:t>
            </w:r>
            <w:bookmarkStart w:id="259" w:name="xdx_40A_eus-gaap--CashCashEquivalentsRes"/>
            <w:bookmarkEnd w:id="259"/>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491,118</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0" w:name="xdx_402_eus-gaap--SupplementalCashFlowIn"/>
            <w:bookmarkEnd w:id="26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1" w:name="xdx_40F_eus-gaap--InterestPaidNet_i01_zn"/>
            <w:bookmarkEnd w:id="26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2" w:name="xdx_40C_eus-gaap--RightOfUseAssetObtaine"/>
            <w:bookmarkEnd w:id="26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liabilities arising from obtaining from ROU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3" w:name="sp_005"/>
      <w:bookmarkEnd w:id="263"/>
      <w:r>
        <w:rPr>
          <w:rFonts w:ascii="Times New Roman;Times;Serif" w:hAnsi="Times New Roman;Times;Serif"/>
          <w:b/>
          <w:i w:val="false"/>
          <w:caps w:val="false"/>
          <w:smallCaps w:val="false"/>
          <w:sz w:val="20"/>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(Yen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4" w:name="xdx_80D_eus-gaap--NatureOfOperations_zTR"/>
      <w:bookmarkEnd w:id="264"/>
      <w:r>
        <w:rPr>
          <w:rFonts w:ascii="Times New Roman;Times;Serif" w:hAnsi="Times New Roman;Times;Serif"/>
          <w:b/>
          <w:i w:val="false"/>
          <w:caps w:val="false"/>
          <w:smallCaps w:val="false"/>
          <w:sz w:val="20"/>
        </w:rPr>
        <w:t xml:space="preserve">1. </w:t>
      </w:r>
      <w:bookmarkStart w:id="265" w:name="xdx_829_zgjFRFPALHI2"/>
      <w:bookmarkEnd w:id="265"/>
      <w:r>
        <w:rPr>
          <w:rFonts w:ascii="Times New Roman;Times;Serif" w:hAnsi="Times New Roman;Times;Serif"/>
          <w:b/>
          <w:i w:val="false"/>
          <w:caps w:val="false"/>
          <w:smallCaps w:val="false"/>
          <w:sz w:val="20"/>
          <w:shd w:fill="FFFFFF" w:val="clear"/>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Robot Consulting Co., Ltd. (the “Company”) was incorporated on April 17, 2020 in Tokyo, Japan. The Company’s principal product is “Labor Robot,” a cloud-based software which provides human resource solutions. The Company is also offering “Robot Lawyer,” a chatbot empowered by generative artificial intelligence (“AI”) aiming to provide a preliminary legal consultation resources to individuals and small business users, and “Billing Robot,” a cloud-based business-to-business billing and payment software. The Company also provides consulting support services such as e-learning courses relating to digital transformation and software installation services. The Company is committed to researching, developing, and selling AI technology.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 split</w:t>
      </w:r>
      <w:r>
        <w:rPr>
          <w:rFonts w:ascii="Times New Roman;Times;Serif" w:hAnsi="Times New Roman;Times;Serif"/>
          <w:b w:val="false"/>
          <w:i w:val="false"/>
          <w:caps w:val="false"/>
          <w:smallCaps w:val="false"/>
          <w:sz w:val="20"/>
        </w:rPr>
        <w:t xml:space="preserve">- </w:t>
      </w:r>
      <w:bookmarkStart w:id="266" w:name="xdx_90A_eus-gaap--StockholdersEquityReve"/>
      <w:bookmarkEnd w:id="266"/>
      <w:r>
        <w:rPr>
          <w:rFonts w:ascii="Times New Roman;Times;Serif" w:hAnsi="Times New Roman;Times;Serif"/>
          <w:b w:val="false"/>
          <w:i w:val="false"/>
          <w:caps w:val="false"/>
          <w:smallCaps w:val="false"/>
          <w:sz w:val="20"/>
        </w:rPr>
        <w:t xml:space="preserve">On January 7, 2025, the Company’s board of directors approved the change in the number of ordinary shares authorized and a sub-division of the ordinary shares issued at a ratio of 1:6, which became effective on January 7, 2025. As a result, the number of shares authorized and issued became </w:t>
      </w:r>
      <w:bookmarkStart w:id="267" w:name="xdx_904_eus-gaap--CommonStockSharesAutho"/>
      <w:bookmarkEnd w:id="267"/>
      <w:r>
        <w:rPr>
          <w:rFonts w:ascii="Times New Roman;Times;Serif" w:hAnsi="Times New Roman;Times;Serif"/>
          <w:b w:val="false"/>
          <w:i w:val="false"/>
          <w:caps w:val="false"/>
          <w:smallCaps w:val="false"/>
          <w:sz w:val="20"/>
        </w:rPr>
        <w:t xml:space="preserve">168,000,000 and </w:t>
      </w:r>
      <w:bookmarkStart w:id="268" w:name="xdx_90E_eus-gaap--CommonStockSharesIssue"/>
      <w:bookmarkEnd w:id="268"/>
      <w:r>
        <w:rPr>
          <w:rFonts w:ascii="Times New Roman;Times;Serif" w:hAnsi="Times New Roman;Times;Serif"/>
          <w:b w:val="false"/>
          <w:i w:val="false"/>
          <w:caps w:val="false"/>
          <w:smallCaps w:val="false"/>
          <w:sz w:val="20"/>
        </w:rPr>
        <w:t>42,210,000 shares, respectively, with a par value of JPY</w:t>
      </w:r>
      <w:bookmarkStart w:id="269" w:name="xdx_908_eus-gaap--CommonStockParOrStated"/>
      <w:bookmarkEnd w:id="269"/>
      <w:r>
        <w:rPr>
          <w:rFonts w:ascii="Times New Roman;Times;Serif" w:hAnsi="Times New Roman;Times;Serif"/>
          <w:b w:val="false"/>
          <w:i w:val="false"/>
          <w:caps w:val="false"/>
          <w:smallCaps w:val="false"/>
          <w:sz w:val="20"/>
        </w:rPr>
        <w:t>1.66667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loss of JPY</w:t>
      </w:r>
      <w:bookmarkStart w:id="270" w:name="xdx_906_eus-gaap--NetIncomeLoss_iN_pn3n3"/>
      <w:bookmarkEnd w:id="270"/>
      <w:r>
        <w:rPr>
          <w:rFonts w:ascii="Times New Roman;Times;Serif" w:hAnsi="Times New Roman;Times;Serif"/>
          <w:b w:val="false"/>
          <w:i w:val="false"/>
          <w:caps w:val="false"/>
          <w:smallCaps w:val="false"/>
          <w:sz w:val="20"/>
        </w:rPr>
        <w:t>1,489,414, JPY</w:t>
      </w:r>
      <w:bookmarkStart w:id="271" w:name="xdx_90A_eus-gaap--NetIncomeLoss_iN_pn3n3"/>
      <w:bookmarkEnd w:id="271"/>
      <w:r>
        <w:rPr>
          <w:rFonts w:ascii="Times New Roman;Times;Serif" w:hAnsi="Times New Roman;Times;Serif"/>
          <w:b w:val="false"/>
          <w:i w:val="false"/>
          <w:caps w:val="false"/>
          <w:smallCaps w:val="false"/>
          <w:sz w:val="20"/>
        </w:rPr>
        <w:t>534,685 and JPY</w:t>
      </w:r>
      <w:bookmarkStart w:id="272" w:name="xdx_90A_eus-gaap--NetIncomeLoss_iN_pn3n3"/>
      <w:bookmarkEnd w:id="272"/>
      <w:r>
        <w:rPr>
          <w:rFonts w:ascii="Times New Roman;Times;Serif" w:hAnsi="Times New Roman;Times;Serif"/>
          <w:b w:val="false"/>
          <w:i w:val="false"/>
          <w:caps w:val="false"/>
          <w:smallCaps w:val="false"/>
          <w:sz w:val="20"/>
        </w:rPr>
        <w:t>661,966 for the fiscal years ended March 31, 2026, 2025 and 2024, respectively. This operating loss has resulted in an accumulated deficit of JPY</w:t>
      </w:r>
      <w:bookmarkStart w:id="273" w:name="xdx_90A_eus-gaap--RetainedEarningsAccumu"/>
      <w:bookmarkEnd w:id="273"/>
      <w:r>
        <w:rPr>
          <w:rFonts w:ascii="Times New Roman;Times;Serif" w:hAnsi="Times New Roman;Times;Serif"/>
          <w:b w:val="false"/>
          <w:i w:val="false"/>
          <w:caps w:val="false"/>
          <w:smallCaps w:val="false"/>
          <w:sz w:val="20"/>
        </w:rPr>
        <w:t>3,271,899 as of March 31, 2026. These factors raise substantial doubt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financial statements have been prepared assuming that the Company will continue as a going concern, which contemplates the realization of assets and the liquidation of liabilities in the normal course of business. The Company’s ability to continue as a going concern is dependent upon the Company’s ability to attract and retain revenue generating customers, acquire new customer contracts, and secure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may consider obtaining additional financing in the future through the issuance of the Company’s ordinary shares through equity or debt financings, or other means. The Company, however, is dependent upon its ability to obtain new revenue generating customer contracts and secure equity and/or debt financing and there are no assurances that the Company will be successful. The financial statements do not include any adjustments to the recoverability and classification of recorded asset amounts, or the amounts and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274" w:name="xdx_807_eus-gaap--SignificantAccountingP"/>
      <w:bookmarkEnd w:id="274"/>
      <w:r>
        <w:rPr>
          <w:rFonts w:ascii="Times New Roman;Times;Serif" w:hAnsi="Times New Roman;Times;Serif"/>
          <w:b/>
          <w:i w:val="false"/>
          <w:caps w:val="false"/>
          <w:smallCaps w:val="false"/>
          <w:sz w:val="20"/>
          <w:shd w:fill="FFFFFF" w:val="clear"/>
        </w:rPr>
        <w:t xml:space="preserve">2. </w:t>
      </w:r>
      <w:bookmarkStart w:id="275" w:name="xdx_829_zgtiNxR5H88b"/>
      <w:bookmarkEnd w:id="275"/>
      <w:r>
        <w:rPr>
          <w:rFonts w:ascii="Times New Roman;Times;Serif" w:hAnsi="Times New Roman;Times;Serif"/>
          <w:b/>
          <w:i w:val="false"/>
          <w:caps w:val="false"/>
          <w:smallCaps w:val="false"/>
          <w:sz w:val="20"/>
          <w:shd w:fill="FFFFFF" w:val="clear"/>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76" w:name="xdx_840_eus-gaap--BasisOfAccountingPolic"/>
      <w:bookmarkEnd w:id="276"/>
      <w:r>
        <w:rPr>
          <w:rFonts w:ascii="Times New Roman;Times;Serif" w:hAnsi="Times New Roman;Times;Serif"/>
          <w:b/>
          <w:i/>
          <w:caps w:val="false"/>
          <w:smallCaps w:val="false"/>
          <w:sz w:val="20"/>
          <w:shd w:fill="FFFFFF" w:val="clear"/>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financial statements are presented in thousand Japanese yen, (“JPY” or “¥”), the currency of the country in which the Company is incorporated and primarily operates. The accompanying financial statements are prepared in accordance with accounting principles generally accepted in the United States of America (“U.S. GAAP”) and pursuant to the rules and regulations of the U.S.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77" w:name="xdx_841_eus-gaap--UseOfEstimates_zPtvaXx"/>
      <w:bookmarkEnd w:id="277"/>
      <w:r>
        <w:rPr>
          <w:rFonts w:ascii="Times New Roman;Times;Serif" w:hAnsi="Times New Roman;Times;Serif"/>
          <w:b/>
          <w:i/>
          <w:caps w:val="false"/>
          <w:smallCaps w:val="false"/>
          <w:sz w:val="20"/>
          <w:shd w:fill="FFFFFF" w:val="clear"/>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the U.S. GAAP requires management to make estimates and assumptions that affect the reported amounts of assets and liabilities, the disclosure of contingent assets and liabilities as of the reporting date, and the reported amounts of revenue and expense during the reporting period. These estimates are based on management’s best knowledge of current events and actions that the Company may undertake in the future and include, but are not limited to, useful lives of property and equipment and intangible assets, the carrying value of operating lease right-of-use asset, allowance for credit losses on accounts receivable, valuation of share-based compensation, and valuation allowance against net deferred tax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78" w:name="xdx_84F_eus-gaap--RevenueFromContractWit"/>
      <w:bookmarkEnd w:id="278"/>
      <w:r>
        <w:rPr>
          <w:rFonts w:ascii="Times New Roman;Times;Serif" w:hAnsi="Times New Roman;Times;Serif"/>
          <w:b/>
          <w:i/>
          <w:caps w:val="false"/>
          <w:smallCaps w:val="false"/>
          <w:sz w:val="20"/>
          <w:shd w:fill="FFFFFF" w:val="clear"/>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w:t>
      </w:r>
      <w:r>
        <w:rPr>
          <w:rFonts w:ascii="Times New Roman;Times;Serif" w:hAnsi="Times New Roman;Times;Serif"/>
          <w:b w:val="false"/>
          <w:i w:val="false"/>
          <w:caps w:val="false"/>
          <w:smallCaps w:val="false"/>
          <w:sz w:val="20"/>
          <w:shd w:fill="FFFFFF" w:val="clear"/>
        </w:rPr>
        <w:t>Accounting Standards Codification</w:t>
      </w:r>
      <w:r>
        <w:rPr>
          <w:rFonts w:ascii="Times New Roman;Times;Serif" w:hAnsi="Times New Roman;Times;Serif"/>
          <w:b w:val="false"/>
          <w:i w:val="false"/>
          <w:caps w:val="false"/>
          <w:smallCaps w:val="false"/>
          <w:sz w:val="20"/>
        </w:rPr>
        <w:t xml:space="preserve">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for all periods presented in the financial statements. To determine the appropriate amount of revenue to be recognized in accordance with ASC 606, the Company follows a five-step model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Identification of the contract with a customer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Identification of the performance obligation in the contract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Determination of the transaction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Allocation of the transaction price to the performance obligation in the contract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Recognition of revenue when, or as, a performance obligation is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and 2025, the Company generated revenues from sales of software and consulting and support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the control of the promised products or services is transferred by the Company to its customers. The amount of revenue recognized reflects the consideration that the Company expects to receive in exchange for the products or services delivered. The transaction prices are generally fixed at contract inception. Consumption taxes collected from customers and remitted to government authorities are excluded from revenue and deferred 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performance obligations, or deliverables the Company has agreed to provide, pursuant to the contract and determines if they are individually distinct or if they should be combined with other performance obligations. Contracts that contain multiple performance obligations require an allocation of the transaction price to each performance obligation based on each performance obligation’s relative standalone selling price. Performance obligations are combined when an individual performance obligation does not have standalone value to a customer. For example, customers do not have the ability to take possession of the Company’s software, “Labor Robot”, and, as a result, the Company’s contracts for sales of software and hosting service arrangements are typically accounted for as service arrangements with a single performance obligation.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Software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software is primarily comprised of sales of Labor Robot, Robot Lawyer, and the add-on features of Billing Robot. Revenue is recognized on a straight-line basis over the period of five years as the Company’s performance obligation is satisfied over-time and as control of the promised service is transferred to the customer, commencing when the product key is delivered to the customer.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and Support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consulting and support services is recognized when the control of the promised service is transferred by the Company to its customer. Consulting and support services the Company provided during the fiscal years ended March 31, 2026 and 2025, include the following services. See Note 13 for the 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E-learning: The Company provides online training courses to help employees of small and medium-sized businesses learn the latest trends in digital transformation. Revenue is recognized on a straight-line basis over the contract period which is generally one month as the Company’s performance obligation is satisfied over-time, commencing when the access code is delivered to the customer.</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installation support: The Company helps customers with the installation and initial set-up of the software and provides support services during the contract period. Revenue is recognized on a straight-line basis over the contract period which is generally one year as the Company’s performance obligation is satisfied over-time.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Digitalization &amp; AI Implementation Subsidy application consulting and support services: Consulting service revenue is generated from application and handling fees charged to corporate customers for applying for information technology (IT) subsidies with the Ministry of Economy, Trade and Industry of Japan (“METI”). Revenue is recognized when the Company completes submitting applications for IT grants to METI.</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Usage fees for Billing Robot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Usage fee revenue generated from Billing Robot fees charged to a certain customer based on fixed rates specified in the contract.  The Company recognizes usage fee revenue as the related usage occurs, because the customer  simultaneously receives and consumes the benefits of the service as it is provided. The amount of revenue recognized reflects the consideration that the Company expects to be entitled to receive in exchange for providing access to, and usage of, the Billing Robot service.  The transaction price is determined based on the fixed contractual rate and the customer’s actual usage.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uses subcontractors. The Company assesses and records revenue on a gross basis as a principal versus on a net basis as an agent in the presentation of revenues and expenses. The Company has concluded that the Company is the principal in the performance obligation and gross reporting is appropriate because the Company (i) has the risk of identifying and hiring qualified vendors, (ii) has the discretion to select the vendors and establish their price and duties, and (iii) bears the risk for services that are not fully paid for by its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shd w:fill="FFFFFF" w:val="clear"/>
        </w:rPr>
      </w:pPr>
      <w:bookmarkStart w:id="279" w:name="xdx_84C_eus-gaap--SegmentReportingPolicy"/>
      <w:bookmarkEnd w:id="279"/>
      <w:r>
        <w:rPr>
          <w:rFonts w:ascii="Times New Roman;Times;Serif" w:hAnsi="Times New Roman;Times;Serif"/>
          <w:b/>
          <w:i/>
          <w:caps w:val="false"/>
          <w:smallCaps w:val="false"/>
          <w:sz w:val="20"/>
          <w:shd w:fill="FFFFFF" w:val="clear"/>
        </w:rPr>
        <w:t>Segment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companies to report in their financial statement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as </w:t>
      </w:r>
      <w:bookmarkStart w:id="280" w:name="xdx_909_eus-gaap--NumberOfReportableSegm"/>
      <w:bookmarkStart w:id="281" w:name="xdx_901_eus-gaap--NumberOfOperatingSegme"/>
      <w:bookmarkEnd w:id="280"/>
      <w:bookmarkEnd w:id="281"/>
      <w:r>
        <w:rPr>
          <w:rFonts w:ascii="Times New Roman;Times;Serif" w:hAnsi="Times New Roman;Times;Serif"/>
          <w:b w:val="false"/>
          <w:i w:val="false"/>
          <w:caps w:val="false"/>
          <w:smallCaps w:val="false"/>
          <w:sz w:val="20"/>
        </w:rPr>
        <w:t xml:space="preserve">one operating and reportable segment. The Company’s chief operating decision maker (“CODM”) is its Chief Executive Officer (“CEO”), who reviews and evaluates financial information as a whole for purposes of making operating decisions, assessing financial performance, and allocating resources. As such, the Company has determined that it has one operating and reportable segment in accordance with ASC Topic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During the fiscal years ended March 31, 2026 and 2025, there were no revenues derived or long-lived assets held outside of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82" w:name="xdx_84C_eus-gaap--ConcentrationRiskCredi"/>
      <w:bookmarkEnd w:id="282"/>
      <w:r>
        <w:rPr>
          <w:rFonts w:ascii="Times New Roman;Times;Serif" w:hAnsi="Times New Roman;Times;Serif"/>
          <w:b/>
          <w:i/>
          <w:caps w:val="false"/>
          <w:smallCaps w:val="false"/>
          <w:sz w:val="20"/>
          <w:shd w:fill="FFFFFF" w:val="clear"/>
        </w:rPr>
        <w:t>Concentration of Customers and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no customer accounted for more than 10% of the Company’s total revenue. For the fiscal year ended March 31, 2025, two customers each accounted for more than 10% of the Company’s total revenue. For the fiscal year ended March 31, 2024, no customer accounted for more than 10%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 customer accounted for more than 10% of the Company’s total accounts receivable. As of March 31, 2025, three customers each accounted for more than 10%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March 31, 2026, one supplier accounted for more than 10% of the Company’s total purchases. For the fiscal years ended March 31, 2025 and 2024, no supplier accounted for more than 10% of the Company’s total purchases.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four suppliers accounted for more than 10% of the Company’s total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83" w:name="xdx_84C_eus-gaap--CashAndCashEquivalents"/>
      <w:bookmarkEnd w:id="283"/>
      <w:r>
        <w:rPr>
          <w:rFonts w:ascii="Times New Roman;Times;Serif" w:hAnsi="Times New Roman;Times;Serif"/>
          <w:b/>
          <w:i/>
          <w:caps w:val="false"/>
          <w:smallCaps w:val="false"/>
          <w:sz w:val="20"/>
          <w:shd w:fill="FFFFFF" w:val="clear"/>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considers all highly liquid short-term investments purchased with an initial maturity date of three months or less to be cash equivalents. Restricted cash consisted of funds earmarked in connection with the legal proceeding described in Note 9. Following the appellate court judgment regarding the unpaid system development fees with ZESTO Consulting LLC, and while the Company’s appeal remains ongoing, the court released these funds, and JPY</w:t>
      </w:r>
      <w:bookmarkStart w:id="284" w:name="xdx_90E_eus-gaap--LitigationSettlementAm"/>
      <w:bookmarkEnd w:id="284"/>
      <w:r>
        <w:rPr>
          <w:rFonts w:ascii="Times New Roman;Times;Serif" w:hAnsi="Times New Roman;Times;Serif"/>
          <w:b w:val="false"/>
          <w:i w:val="false"/>
          <w:caps w:val="false"/>
          <w:smallCaps w:val="false"/>
          <w:sz w:val="20"/>
          <w:shd w:fill="FFFFFF" w:val="clear"/>
        </w:rPr>
        <w:t xml:space="preserve">19,470 was paid to the counterparty during the fiscal year ended March 31, 2026. As a result, the Company had </w:t>
      </w:r>
      <w:bookmarkStart w:id="285" w:name="xdx_900_eus-gaap--RestrictedCash_iI_do_c"/>
      <w:bookmarkEnd w:id="285"/>
      <w:r>
        <w:rPr>
          <w:rFonts w:ascii="Times New Roman;Times;Serif" w:hAnsi="Times New Roman;Times;Serif"/>
          <w:b w:val="false"/>
          <w:i w:val="false"/>
          <w:caps w:val="false"/>
          <w:smallCaps w:val="false"/>
          <w:sz w:val="20"/>
          <w:shd w:fill="FFFFFF" w:val="clear"/>
        </w:rPr>
        <w:t>no restricted cash as of March 31, 2026. Restricted cash was JPY</w:t>
      </w:r>
      <w:bookmarkStart w:id="286" w:name="xdx_907_eus-gaap--RestrictedCash_iI_pn3n"/>
      <w:bookmarkEnd w:id="286"/>
      <w:r>
        <w:rPr>
          <w:rFonts w:ascii="Times New Roman;Times;Serif" w:hAnsi="Times New Roman;Times;Serif"/>
          <w:b w:val="false"/>
          <w:i w:val="false"/>
          <w:caps w:val="false"/>
          <w:smallCaps w:val="false"/>
          <w:sz w:val="20"/>
          <w:shd w:fill="FFFFFF" w:val="clear"/>
        </w:rPr>
        <w:t>19,470 as of March 31, 2025.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87" w:name="xdx_843_eus-gaap--TradeAndOtherAccountsR"/>
      <w:bookmarkEnd w:id="287"/>
      <w:r>
        <w:rPr>
          <w:rFonts w:ascii="Times New Roman;Times;Serif" w:hAnsi="Times New Roman;Times;Serif"/>
          <w:b/>
          <w:i/>
          <w:caps w:val="false"/>
          <w:smallCaps w:val="false"/>
          <w:sz w:val="20"/>
          <w:shd w:fill="FFFFFF" w:val="clear"/>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Accounts receivable primarily consist of the amounts billed and currently due from customers, net of an allowance for credit loss, if recorded. When the Company has an unconditional right to payment, subject only to the passage of time, the right is treated as receivable. The Company’s accounts receivable balances are unsecured, bearing no interest. Fees billed in advance of the related contractual term represent contract liabilities and presented as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balance sheet date, the Company recognizes an expected allowance for credit losses. In addition, also at each reporting date, this estimate is updated to reflect any changes in credit risk since the receivable was initially recorded. This estimate is calculated on a pooled basis where similar risk characteristics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estimate is derived from a review of the Company’s historical losses on the aging of receivables. This estimate is adjusted for management’s assessment of current conditions, reasonable and supportable forecasts regarding future events, and any other factors deemed relevant by the Company. The Company believes that historical loss information is a reasonable starting point to calculate the expected allowance for credit losses, given that the composition of the Company’s customers has remained constant. The Company recorded JPY</w:t>
      </w:r>
      <w:bookmarkStart w:id="288" w:name="xdx_90B_eus-gaap--AllowanceForDoubtfulAc"/>
      <w:bookmarkEnd w:id="288"/>
      <w:r>
        <w:rPr>
          <w:rFonts w:ascii="Times New Roman;Times;Serif" w:hAnsi="Times New Roman;Times;Serif"/>
          <w:b w:val="false"/>
          <w:i w:val="false"/>
          <w:caps w:val="false"/>
          <w:smallCaps w:val="false"/>
          <w:sz w:val="20"/>
        </w:rPr>
        <w:t>591 and JPY</w:t>
      </w:r>
      <w:bookmarkStart w:id="289" w:name="xdx_90D_eus-gaap--AllowanceForDoubtfulAc"/>
      <w:bookmarkEnd w:id="289"/>
      <w:r>
        <w:rPr>
          <w:rFonts w:ascii="Times New Roman;Times;Serif" w:hAnsi="Times New Roman;Times;Serif"/>
          <w:b w:val="false"/>
          <w:i w:val="false"/>
          <w:caps w:val="false"/>
          <w:smallCaps w:val="false"/>
          <w:sz w:val="20"/>
        </w:rPr>
        <w:t>203 as the allowance for credit loss as of March 31, 2026 and 2025, respectively. Provisions for the allowance for expected credit losses are recorded in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90" w:name="xdx_847_eus-gaap--DeferredChargesPolicyT"/>
      <w:bookmarkEnd w:id="290"/>
      <w:r>
        <w:rPr>
          <w:rFonts w:ascii="Times New Roman;Times;Serif" w:hAnsi="Times New Roman;Times;Serif"/>
          <w:b/>
          <w:i/>
          <w:caps w:val="false"/>
          <w:smallCaps w:val="false"/>
          <w:sz w:val="20"/>
          <w:shd w:fill="FFFFFF" w:val="clear"/>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accounting and other third-party fees that are directly related to an equity financing that is likely to be successfully completed, until such financing is consummated. After consummation of an equity financing, these costs are recorded as a reduction of the proceeds received as a result of the financing. Should a planned equity financing be abandoned, terminated, or significantly delayed, the deferred offering costs are immediately written off to operating expenses in the Statements of Operations in the period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initial public offering (the “IPO”) the Company completed on July 18, 2025, the deferred offering costs were fully charged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291" w:name="xdx_84F_eus-gaap--PropertyPlantAndEquipm"/>
      <w:bookmarkEnd w:id="291"/>
      <w:r>
        <w:rPr>
          <w:rFonts w:ascii="Times New Roman;Times;Serif" w:hAnsi="Times New Roman;Times;Serif"/>
          <w:b/>
          <w:i/>
          <w:caps w:val="false"/>
          <w:smallCaps w:val="false"/>
          <w:sz w:val="20"/>
          <w:shd w:fill="FFFFFF" w:val="clear"/>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the cost less accumulated depreciation. Depreciation is computed using the straight-line method, depending on the pattern of consumption of the economic benefits by asset class, over the estimated useful lives of the assets, as follows:</w:t>
      </w:r>
    </w:p>
    <w:p>
      <w:pPr>
        <w:pStyle w:val="TextBody"/>
        <w:bidi w:val="0"/>
        <w:spacing w:before="0" w:after="0"/>
        <w:ind w:left="0" w:right="0" w:hanging="0"/>
        <w:jc w:val="both"/>
        <w:rPr>
          <w:caps w:val="false"/>
          <w:smallCaps w:val="false"/>
        </w:rPr>
      </w:pPr>
      <w:bookmarkStart w:id="292" w:name="xdx_892_eus-gaap--FiniteLivedIntangibleA"/>
      <w:bookmarkEnd w:id="292"/>
      <w:r>
        <w:rPr>
          <w:caps w:val="false"/>
          <w:smallCaps w:val="false"/>
        </w:rPr>
        <w:t> </w:t>
      </w:r>
      <w:bookmarkStart w:id="293" w:name="xdx_8BF_z7ruPpiTRbJb"/>
      <w:bookmarkEnd w:id="293"/>
      <w:r>
        <w:rPr>
          <w:rFonts w:ascii="Times New Roman;Times;Serif" w:hAnsi="Times New Roman;Times;Serif"/>
          <w:b w:val="false"/>
          <w:i w:val="false"/>
          <w:caps w:val="false"/>
          <w:smallCaps w:val="false"/>
          <w:sz w:val="20"/>
        </w:rPr>
        <w:t>Schedule of Estimated Useful Lives</w:t>
      </w:r>
    </w:p>
    <w:tbl>
      <w:tblPr>
        <w:tblW w:w="6100" w:type="dxa"/>
        <w:jc w:val="left"/>
        <w:tblInd w:w="0" w:type="dxa"/>
        <w:tblLayout w:type="fixed"/>
        <w:tblCellMar>
          <w:top w:w="0" w:type="dxa"/>
          <w:left w:w="0" w:type="dxa"/>
          <w:bottom w:w="28" w:type="dxa"/>
          <w:right w:w="0" w:type="dxa"/>
        </w:tblCellMar>
      </w:tblPr>
      <w:tblGrid>
        <w:gridCol w:w="3065"/>
        <w:gridCol w:w="60"/>
        <w:gridCol w:w="2975"/>
      </w:tblGrid>
      <w:tr>
        <w:trPr/>
        <w:tc>
          <w:tcPr>
            <w:tcW w:w="30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Shorter of </w:t>
            </w:r>
            <w:bookmarkStart w:id="294" w:name="xdx_907_eus-gaap--PropertyPlantAndEquipm"/>
            <w:bookmarkEnd w:id="294"/>
            <w:r>
              <w:rPr>
                <w:rFonts w:ascii="Times New Roman;Times;Serif" w:hAnsi="Times New Roman;Times;Serif"/>
              </w:rPr>
              <w:t>3 years or lease term</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Tooling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295" w:name="xdx_908_eus-gaap--PropertyPlantAndEquipm"/>
            <w:bookmarkEnd w:id="295"/>
            <w:r>
              <w:rPr>
                <w:rFonts w:ascii="Times New Roman;Times;Serif" w:hAnsi="Times New Roman;Times;Serif"/>
              </w:rPr>
              <w:t>5 years</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other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296" w:name="xdx_901_eus-gaap--PropertyPlantAndEquipm"/>
            <w:bookmarkEnd w:id="296"/>
            <w:r>
              <w:rPr>
                <w:rFonts w:ascii="Times New Roman;Times;Serif" w:hAnsi="Times New Roman;Times;Serif"/>
              </w:rPr>
              <w:t>3 years</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297" w:name="xdx_906_eus-gaap--PropertyPlantAndEquipm"/>
            <w:bookmarkEnd w:id="297"/>
            <w:r>
              <w:rPr>
                <w:rFonts w:ascii="Times New Roman;Times;Serif" w:hAnsi="Times New Roman;Times;Serif"/>
              </w:rPr>
              <w:t>5 years</w:t>
            </w:r>
          </w:p>
        </w:tc>
      </w:tr>
    </w:tbl>
    <w:p>
      <w:pPr>
        <w:pStyle w:val="TextBody"/>
        <w:bidi w:val="0"/>
        <w:spacing w:before="0" w:after="0"/>
        <w:ind w:left="0" w:right="0" w:hanging="0"/>
        <w:jc w:val="both"/>
        <w:rPr>
          <w:caps w:val="false"/>
          <w:smallCaps w:val="false"/>
        </w:rPr>
      </w:pPr>
      <w:bookmarkStart w:id="298" w:name="xdx_8A2_zxCIvJVQSf67"/>
      <w:bookmarkEnd w:id="2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Repair and maintenance costs are expensed as incurred. The Company records depreciation expenses in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99" w:name="xdx_846_eus-gaap--IntangibleAssetsFinite"/>
      <w:bookmarkEnd w:id="299"/>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consist of the Company’s capitalized software, patents and trademarks. Software is amortized over </w:t>
      </w:r>
      <w:bookmarkStart w:id="300" w:name="xdx_904_eus-gaap--FiniteLivedIntangibleA"/>
      <w:bookmarkEnd w:id="300"/>
      <w:r>
        <w:rPr>
          <w:rFonts w:ascii="Times New Roman;Times;Serif" w:hAnsi="Times New Roman;Times;Serif"/>
          <w:b w:val="false"/>
          <w:i w:val="false"/>
          <w:caps w:val="false"/>
          <w:smallCaps w:val="false"/>
          <w:sz w:val="20"/>
        </w:rPr>
        <w:t xml:space="preserve">5 five to </w:t>
      </w:r>
      <w:bookmarkStart w:id="301" w:name="xdx_905_eus-gaap--FiniteLivedIntangibleA"/>
      <w:bookmarkEnd w:id="301"/>
      <w:r>
        <w:rPr>
          <w:rFonts w:ascii="Times New Roman;Times;Serif" w:hAnsi="Times New Roman;Times;Serif"/>
          <w:b w:val="false"/>
          <w:i w:val="false"/>
          <w:caps w:val="false"/>
          <w:smallCaps w:val="false"/>
          <w:sz w:val="20"/>
        </w:rPr>
        <w:t xml:space="preserve">ten years. Patents are amortized over </w:t>
      </w:r>
      <w:bookmarkStart w:id="302" w:name="xdx_906_eus-gaap--FiniteLivedIntangibleA"/>
      <w:bookmarkEnd w:id="302"/>
      <w:r>
        <w:rPr>
          <w:rFonts w:ascii="Times New Roman;Times;Serif" w:hAnsi="Times New Roman;Times;Serif"/>
          <w:b w:val="false"/>
          <w:i w:val="false"/>
          <w:caps w:val="false"/>
          <w:smallCaps w:val="false"/>
          <w:sz w:val="20"/>
        </w:rPr>
        <w:t xml:space="preserve">eight years. Trademarks are amortized over </w:t>
      </w:r>
      <w:bookmarkStart w:id="303" w:name="xdx_902_eus-gaap--FiniteLivedIntangibleA"/>
      <w:bookmarkEnd w:id="303"/>
      <w:r>
        <w:rPr>
          <w:rFonts w:ascii="Times New Roman;Times;Serif" w:hAnsi="Times New Roman;Times;Serif"/>
          <w:b w:val="false"/>
          <w:i w:val="false"/>
          <w:caps w:val="false"/>
          <w:smallCaps w:val="false"/>
          <w:sz w:val="20"/>
        </w:rPr>
        <w:t>10 years. Amortization expenses are recorded in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4" w:name="xdx_844_eus-gaap--ImpairmentOrDisposalOf"/>
      <w:bookmarkEnd w:id="304"/>
      <w:r>
        <w:rPr>
          <w:rFonts w:ascii="Times New Roman;Times;Serif" w:hAnsi="Times New Roman;Times;Serif"/>
          <w:b/>
          <w:i/>
          <w:caps w:val="false"/>
          <w:smallCaps w:val="false"/>
          <w:sz w:val="20"/>
        </w:rPr>
        <w:t>Impairment or Disposal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Long-lived assets used in operations are reviewed for impairment whenever events or changes in circumstances indicate that carrying amounts may not be recoverable. For long-lived assets to be held and used, the Company recognizes an impairment loss only if the carrying amount is not recoverable when compared to the Company’s undiscounted cash flows and the impairment loss is measured based on the difference between the carrying amount and fair value. Long-lived assets held for sales are reported at the lower of cost or fair value less costs to sell. There were </w:t>
      </w:r>
      <w:bookmarkStart w:id="305" w:name="xdx_90B_eus-gaap--ImpairmentOfLongLivedA"/>
      <w:bookmarkStart w:id="306" w:name="xdx_90E_eus-gaap--ImpairmentOfLongLivedA"/>
      <w:bookmarkEnd w:id="305"/>
      <w:bookmarkEnd w:id="306"/>
      <w:r>
        <w:rPr>
          <w:rFonts w:ascii="Times New Roman;Times;Serif" w:hAnsi="Times New Roman;Times;Serif"/>
          <w:b w:val="false"/>
          <w:i w:val="false"/>
          <w:caps w:val="false"/>
          <w:smallCaps w:val="false"/>
          <w:sz w:val="20"/>
        </w:rPr>
        <w:t>no impairments of long-lived assets during the fiscal years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7" w:name="xdx_849_ecustom--CryptoAssetsPolicyTextB"/>
      <w:bookmarkEnd w:id="307"/>
      <w:r>
        <w:rPr>
          <w:rFonts w:ascii="Times New Roman;Times;Serif" w:hAnsi="Times New Roman;Times;Serif"/>
          <w:b/>
          <w:i/>
          <w:caps w:val="false"/>
          <w:smallCaps w:val="false"/>
          <w:sz w:val="20"/>
        </w:rPr>
        <w:t xml:space="preserve">Crypto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certain crypto assets that meet the scope requirements of ASC 350-60, </w:t>
      </w:r>
      <w:r>
        <w:rPr>
          <w:rFonts w:ascii="Times New Roman;Times;Serif" w:hAnsi="Times New Roman;Times;Serif"/>
          <w:b w:val="false"/>
          <w:i/>
          <w:caps w:val="false"/>
          <w:smallCaps w:val="false"/>
          <w:sz w:val="20"/>
        </w:rPr>
        <w:t>Intangibles—Goodwill and Other—Crypto Assets</w:t>
      </w:r>
      <w:r>
        <w:rPr>
          <w:rFonts w:ascii="Times New Roman;Times;Serif" w:hAnsi="Times New Roman;Times;Serif"/>
          <w:b w:val="false"/>
          <w:i w:val="false"/>
          <w:caps w:val="false"/>
          <w:smallCaps w:val="false"/>
          <w:sz w:val="20"/>
        </w:rPr>
        <w:t>. These assets are intangible, do not provide enforceable rights to goods, services, or other claims, are secured using cryptography, and reside on distributed ledger technology. The Company’s crypto assets consist primarily of Ethereum, which are fungible digital tokens that are not issued or created by the Company or its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subject to unique risks, including price volatility, technological change, cybersecurity threats, and regulatory developments. The Company manages these risks through internal controls over custody, authorization, and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2025, the Company adopted ASU 2023-08 </w:t>
      </w:r>
      <w:r>
        <w:rPr>
          <w:rFonts w:ascii="Times New Roman;Times;Serif" w:hAnsi="Times New Roman;Times;Serif"/>
          <w:b w:val="false"/>
          <w:i/>
          <w:caps w:val="false"/>
          <w:smallCaps w:val="false"/>
          <w:sz w:val="20"/>
        </w:rPr>
        <w:t>Intangibles—Goodwill and Other—Crypto Assets (Subtopic 350-60): Accounting for and Disclosure of Crypto Assets</w:t>
      </w:r>
      <w:r>
        <w:rPr>
          <w:rFonts w:ascii="Times New Roman;Times;Serif" w:hAnsi="Times New Roman;Times;Serif"/>
          <w:b w:val="false"/>
          <w:i w:val="false"/>
          <w:caps w:val="false"/>
          <w:smallCaps w:val="false"/>
          <w:sz w:val="20"/>
        </w:rPr>
        <w:t>, which requires crypto assets within its scope to be measured at fair value, with changes recognized in net income. Fair value is determined using Level 1 inputs under ASC 820, based on quoted prices in active markets the Company has access to at the reporting date. Such prices are obtained from publicly available market data sources, including principal market exchanges on which the Company transacts.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presented separately from other intangible assets on the Balance Sheets. Transaction fees, custodian fees, and blockchain network costs are expensed as incurred. Upon disposition of a crypto asset, realized gains or losses are measured as the difference between the proceeds received and the carrying amount at the time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08" w:name="xdx_84A_eus-gaap--LesseeLeasesPolicyText"/>
      <w:bookmarkEnd w:id="308"/>
      <w:r>
        <w:rPr>
          <w:rFonts w:ascii="Times New Roman;Times;Serif" w:hAnsi="Times New Roman;Times;Serif"/>
          <w:b/>
          <w:i/>
          <w:caps w:val="false"/>
          <w:smallCaps w:val="false"/>
          <w:sz w:val="20"/>
          <w:shd w:fill="FFFFFF" w:val="clear"/>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Leases are comprised of operating leases for office space. In accordance with the Financial Accounting Standards Board (“FASB”) ASC Topic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an arrangement is a lease at inception. Operating leases are included in operating lease right-of-use (“ROU”) assets, current portion of operating lease liabilities, and non-current operating lease liabilities in the Balance Sheets. Operating lease ROU assets and operating lease liabilities are recognized based on the present value of future minimum lease payments over the lease term at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with terms greater than 12 months, the Company records an ROU asset and a lease liability representing the present value of future lease payments. The discount rate used to measure the lease asset and liability is determined at the beginning of the lease term using the rate implicit in the lease, or the Company’s collateralized incremental borrowing rate. The implicit rate within the Company’s leases is generally not determinable and, therefore, the incremental borrowing rate at lease commencement is utilized to determine the present value of lease payments. The Company estimates its incremental borrowing rate based on third-party lender quotes to obtain secured debt in a like currency for a similar asset over a timeframe similar to the term of the lease. For those contracts that include fixed rental payments for both the use of the asset (“lease costs”) as well as for other occupancy or service costs relating to the asset (“non-lease costs”), the Company generally includes both the lease costs and non-lease costs in the measurement of the lease asset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elected the “package of practical expedients” and as a result is not required to reassess its prior accounting conclusions regarding lease identification, lease classification and initial direct costs for lease contracts existing as of the transition date. The Company accounts for each lease and any associated non-lease components as a single lease component across all asset classes. </w:t>
      </w:r>
      <w:r>
        <w:rPr>
          <w:rFonts w:ascii="Times New Roman;Times;Serif" w:hAnsi="Times New Roman;Times;Serif"/>
          <w:b w:val="false"/>
          <w:i w:val="false"/>
          <w:caps w:val="false"/>
          <w:smallCaps w:val="false"/>
          <w:sz w:val="20"/>
          <w:shd w:fill="FFFFFF" w:val="clear"/>
        </w:rPr>
        <w:t>Lease expenses for the Company’s operating leases are recognized on a straight-line basis over the lease term except for variable lease costs, which are expensed as incurred.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09" w:name="xdx_84D_eus-gaap--InvestmentPolicyTextBl"/>
      <w:bookmarkEnd w:id="309"/>
      <w:r>
        <w:rPr>
          <w:rFonts w:ascii="Times New Roman;Times;Serif" w:hAnsi="Times New Roman;Times;Serif"/>
          <w:b/>
          <w:i/>
          <w:caps w:val="false"/>
          <w:smallCaps w:val="false"/>
          <w:sz w:val="20"/>
          <w:shd w:fill="FFFFFF" w:val="clear"/>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normal course of business, the Company invests in business partners that support the Company’s underlying business strategy and provide the Company the ability to enter into new markets, thereby expanding the reach of the Company’s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investments consist of investments in privately held entities that do not report net asset value (“NAV”) per share. These investments are measured at costs, adjusted for observable price changes and impairments. Gain or loss resulting from price changes and impairments are recognized in other income (expense), net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were no activities related to the Company’s investments during the fiscal year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10" w:name="xdx_842_eus-gaap--FairValueOfFinancialIn"/>
      <w:bookmarkEnd w:id="310"/>
      <w:r>
        <w:rPr>
          <w:rFonts w:ascii="Times New Roman;Times;Serif" w:hAnsi="Times New Roman;Times;Serif"/>
          <w:b/>
          <w:i/>
          <w:caps w:val="false"/>
          <w:smallCaps w:val="false"/>
          <w:sz w:val="20"/>
          <w:shd w:fill="FFFFFF" w:val="clear"/>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reports financial assets and liabilities and nonfinancial assets and liabilities that are recognized or disclosed at fair value in the financial statements on a recurring basis in accordance with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inherent risk, transfer restrictions and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also establishes a fair value hierarchy, which prioritizes the inputs to valuation techniques used to measure fair value into three levels. The U.S. GAAP established a hierarchy framework to classify the fair value based on the observability of significant inputs to the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levels of the fair value hierarchy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Determined using an unadjusted quoted price in an active market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Estimated using inputs other than quoted prices included within Level 1 that are observable,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Estimated using unobservable inputs that are significant to the fair value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investments is determined based on inputs not observable in the market and classified as Level 3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11" w:name="xdx_847_eus-gaap--ForeignCurrencyTransac"/>
      <w:bookmarkEnd w:id="311"/>
      <w:r>
        <w:rPr>
          <w:rFonts w:ascii="Times New Roman;Times;Serif" w:hAnsi="Times New Roman;Times;Serif"/>
          <w:b/>
          <w:i/>
          <w:caps w:val="false"/>
          <w:smallCaps w:val="false"/>
          <w:sz w:val="20"/>
          <w:shd w:fill="FFFFFF" w:val="clear"/>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uses Japanese yen as its reporting currency. The Company’s functional currency is Japanese yen. Monetary assets and liabilities denominated in currencies other than the functional currency are remeasured into the functional currency of the Company at the balance sheet date foreign exchange rate, and gains and losses resulting from such remeasurement are included in other income (expenses), net in the Statement of Operations. Foreign currency denominated income and expenses are remeasured using the average exchange rate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12" w:name="xdx_848_eus-gaap--RevenueRecognitionPoli"/>
      <w:bookmarkEnd w:id="312"/>
      <w:r>
        <w:rPr>
          <w:rFonts w:ascii="Times New Roman;Times;Serif" w:hAnsi="Times New Roman;Times;Serif"/>
          <w:b/>
          <w:i/>
          <w:caps w:val="false"/>
          <w:smallCaps w:val="false"/>
          <w:sz w:val="20"/>
          <w:shd w:fill="FFFFFF" w:val="clear"/>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then deferred revenue, or contract liability, is recorded. Deferred revenue consists of consideration recorded in advance of performance obligations being delivered and is classified as current or non-current based on the related period in which services are expected to be provided.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3" w:name="xdx_848_eus-gaap--CostOfSalesPolicyTextB"/>
      <w:bookmarkEnd w:id="313"/>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primarily consists of costs paid to the Company’s vendors and employees related to the Company’s delivery of services.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4" w:name="xdx_844_eus-gaap--ResearchAndDevelopment"/>
      <w:bookmarkEnd w:id="314"/>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consist primarily of fees paid to vendors for research, prototyping and consulting. Most R&amp;D costs are expensed as incurred.</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and costs incurred between establishment of technological feasibility and the release of software product is not material, and the costs incurred during this period is recorded as R&amp;D costs.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1"/>
        <w:jc w:val="left"/>
        <w:rPr>
          <w:rFonts w:ascii="Times New Roman;Times;Serif" w:hAnsi="Times New Roman;Times;Serif"/>
          <w:b/>
          <w:i/>
          <w:caps w:val="false"/>
          <w:smallCaps w:val="false"/>
          <w:sz w:val="20"/>
        </w:rPr>
      </w:pPr>
      <w:bookmarkStart w:id="315" w:name="xdx_843_eus-gaap--AdvertisingCostsPolicy"/>
      <w:bookmarkEnd w:id="315"/>
      <w:r>
        <w:rPr>
          <w:rFonts w:ascii="Times New Roman;Times;Serif" w:hAnsi="Times New Roman;Times;Serif"/>
          <w:b/>
          <w:i/>
          <w:caps w:val="false"/>
          <w:smallCaps w:val="false"/>
          <w:sz w:val="20"/>
        </w:rPr>
        <w:t>Advertising Costs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costs are expensed as incurred and are included in selling, general and administrative expenses in the Statement of Operations. For the fiscal years ended March 31, 2026 and 2025, these costs were JPY</w:t>
      </w:r>
      <w:bookmarkStart w:id="316" w:name="xdx_909_eus-gaap--MarketingAndAdvertisin"/>
      <w:bookmarkEnd w:id="316"/>
      <w:r>
        <w:rPr>
          <w:rFonts w:ascii="Times New Roman;Times;Serif" w:hAnsi="Times New Roman;Times;Serif"/>
          <w:b w:val="false"/>
          <w:i w:val="false"/>
          <w:caps w:val="false"/>
          <w:smallCaps w:val="false"/>
          <w:sz w:val="20"/>
        </w:rPr>
        <w:t>282,967 and JPY</w:t>
      </w:r>
      <w:bookmarkStart w:id="317" w:name="xdx_904_eus-gaap--MarketingAndAdvertisin"/>
      <w:bookmarkEnd w:id="317"/>
      <w:r>
        <w:rPr>
          <w:rFonts w:ascii="Times New Roman;Times;Serif" w:hAnsi="Times New Roman;Times;Serif"/>
          <w:b w:val="false"/>
          <w:i w:val="false"/>
          <w:caps w:val="false"/>
          <w:smallCaps w:val="false"/>
          <w:sz w:val="20"/>
        </w:rPr>
        <w:t>49,560, respectively.</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18" w:name="xdx_848_eus-gaap--IncomeTaxPolicyTextBlo"/>
      <w:bookmarkEnd w:id="318"/>
      <w:r>
        <w:rPr>
          <w:rFonts w:ascii="Times New Roman;Times;Serif" w:hAnsi="Times New Roman;Times;Serif"/>
          <w:b/>
          <w:i/>
          <w:caps w:val="false"/>
          <w:smallCaps w:val="false"/>
          <w:sz w:val="20"/>
          <w:shd w:fill="FFFFFF" w:val="clear"/>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in accordance with ASC Topic 740, “Income Taxes”, which requires the recognition of deferred tax assets and liabilities for the expected future tax consequences of events that have been included in the financial statements. Under this method, deferred tax assets and liabilities are determined on the differences between the financial statement and tax basis of assets, liabilities and net operating loss by using enacted tax rate in effect for the fiscal year in which the differences are expected to reverse. The effect of a change in tax rate on deferred tax assets and liabilities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these assets are believed to be more likely than not to be realized. Valuation allowances are established when necessary to reduce deferred tax assets to the amounts that are more likely than not expected to be realized. In making such a determination, all available positive and negative evidence is considered, including future reversals of existing taxable temporary differences, projected future taxable income, tax-planning strategies, and results of recent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in the tax jurisdictions of Japan. Tax benefits for uncertain tax positions are based upon management’s evaluation of the information available at the reporting date. To be recognized in the financial statements, a tax benefit must be at least more likely than not of being sustained based on technical merits. The benefit for positions meeting the recognition threshold is measured as the largest benefit more likely than not of being realized upon settlement with a taxing authority that has full knowledge of all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19" w:name="xdx_846_eus-gaap--ShareBasedCompensation"/>
      <w:bookmarkEnd w:id="319"/>
      <w:r>
        <w:rPr>
          <w:rFonts w:ascii="Times New Roman;Times;Serif" w:hAnsi="Times New Roman;Times;Serif"/>
          <w:b/>
          <w:i/>
          <w:caps w:val="false"/>
          <w:smallCaps w:val="false"/>
          <w:sz w:val="20"/>
          <w:shd w:fill="FFFFFF" w:val="clear"/>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accounts for share-based compensation in accordance with ASC Topic 718, </w:t>
      </w:r>
      <w:r>
        <w:rPr>
          <w:rFonts w:ascii="Times New Roman;Times;Serif" w:hAnsi="Times New Roman;Times;Serif"/>
          <w:b w:val="false"/>
          <w:i/>
          <w:caps w:val="false"/>
          <w:smallCaps w:val="false"/>
          <w:sz w:val="20"/>
          <w:shd w:fill="FFFFFF" w:val="clear"/>
        </w:rPr>
        <w:t>Compensation—Stock Compensation</w:t>
      </w:r>
      <w:r>
        <w:rPr>
          <w:rFonts w:ascii="Times New Roman;Times;Serif" w:hAnsi="Times New Roman;Times;Serif"/>
          <w:b w:val="false"/>
          <w:i w:val="false"/>
          <w:caps w:val="false"/>
          <w:smallCaps w:val="false"/>
          <w:sz w:val="20"/>
          <w:shd w:fill="FFFFFF" w:val="clear"/>
        </w:rPr>
        <w:t>. The Company measures and recognizes compensation expenses for all share-based payment awards made to employees and non-employees, including stock options, restricted stock units (“RSUs”), and other equity-based awards, based on the grant-date fair value of the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recognizes compensation expense for share-based awards over the requisite service period, which is generally the vesting period of the awards, using a straight-line method unless the awards contain performance or market conditions.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20" w:name="xdx_84C_eus-gaap--EarningsPerSharePolicy"/>
      <w:bookmarkEnd w:id="320"/>
      <w:r>
        <w:rPr>
          <w:rFonts w:ascii="Times New Roman;Times;Serif" w:hAnsi="Times New Roman;Times;Serif"/>
          <w:b/>
          <w:i/>
          <w:caps w:val="false"/>
          <w:smallCaps w:val="false"/>
          <w:sz w:val="20"/>
          <w:shd w:fill="FFFFFF" w:val="clear"/>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ordinary share is calculated by dividing the net loss by the weighted-average number of ordinary shares outstanding during the period, without consideration for potentially dilutive securities. Diluted net loss per ordinary share is computed by dividing the net loss by the weighted-average number of ordinary shares outstanding during the period, adjusted for the effect of potentially dilutive securities, if any. Potentially dilutive securities are included in the calculation of diluted net loss per share only when their effect is dilutive. When the Company reports a net loss, all potentially dilutive securities are anti-dilutive and are therefore excluded from the computation of diluted net loss per share.</w:t>
      </w:r>
    </w:p>
    <w:p>
      <w:pPr>
        <w:pStyle w:val="TextBody"/>
        <w:bidi w:val="0"/>
        <w:spacing w:before="0" w:after="0"/>
        <w:ind w:left="0" w:right="0" w:firstLine="1"/>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21" w:name="xdx_84F_eus-gaap--NewAccountingPronounce"/>
      <w:bookmarkEnd w:id="321"/>
      <w:r>
        <w:rPr>
          <w:rFonts w:ascii="Times New Roman;Times;Serif" w:hAnsi="Times New Roman;Times;Serif"/>
          <w:b/>
          <w:i/>
          <w:caps w:val="false"/>
          <w:smallCaps w:val="false"/>
          <w:sz w:val="20"/>
          <w:shd w:fill="FFFFFF" w:val="clear"/>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issued by the FASB may relate to the Company as concerns the Company’s normal ongoing operations or the industry in which the Company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w:t>
      </w:r>
      <w:r>
        <w:rPr>
          <w:rFonts w:ascii="Times New Roman;Times;Serif" w:hAnsi="Times New Roman;Times;Serif"/>
          <w:b w:val="false"/>
          <w:i w:val="false"/>
          <w:caps w:val="false"/>
          <w:smallCaps w:val="false"/>
          <w:sz w:val="20"/>
        </w:rPr>
        <w:t>. This ASU addresses issues across a wide variety of Topics, making amendments that clarify guidance, correct errors, or make minor improvements to the Codification. The guidance is effective for annual reporting periods beginning after December 15, 2026, and interim reporting periods within those annual reporting periods. The Company is currently evaluating the impact that adoption of this guidance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Derivatives and Hedging (ASC 815) and Revenue from Contracts with Customers (ASC 606): Scope Refinements and Share-Based Noncash Consideration</w:t>
      </w:r>
      <w:r>
        <w:rPr>
          <w:rFonts w:ascii="Times New Roman;Times;Serif" w:hAnsi="Times New Roman;Times;Serif"/>
          <w:b w:val="false"/>
          <w:i w:val="false"/>
          <w:caps w:val="false"/>
          <w:smallCaps w:val="false"/>
          <w:sz w:val="20"/>
        </w:rPr>
        <w:t>. This ASU clarifies the scope of derivative accounting for certain contracts and the accounting for share-based noncash consideration received from customers. The guidance is effective for fiscal years beginning after December 15, 2026, including interim periods. The Company is currently evaluating the impact that adoption of this guidance will have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2025-07, </w:t>
      </w:r>
      <w:r>
        <w:rPr>
          <w:rFonts w:ascii="Times New Roman;Times;Serif" w:hAnsi="Times New Roman;Times;Serif"/>
          <w:b w:val="false"/>
          <w:i/>
          <w:caps w:val="false"/>
          <w:smallCaps w:val="false"/>
          <w:sz w:val="20"/>
        </w:rPr>
        <w:t>Interim Reporting (Topic 270): Narrow-Scope Improvements</w:t>
      </w:r>
      <w:r>
        <w:rPr>
          <w:rFonts w:ascii="Times New Roman;Times;Serif" w:hAnsi="Times New Roman;Times;Serif"/>
          <w:b w:val="false"/>
          <w:i w:val="false"/>
          <w:caps w:val="false"/>
          <w:smallCaps w:val="false"/>
          <w:sz w:val="20"/>
        </w:rPr>
        <w:t>. This ASU clarifies the interim disclosure requirements and the applicability of Topic 270. The guidance is effective for interim reporting periods within annual reporting periods beginning after December 15, 2027. The Company is currently evaluating the impact that adoption of this guidance will have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30, 2025, the FASB issued ASU No. 2025-05 Financial Instruments - Credit Losses (Topic 326):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This ASU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requirements are effective for fiscal years beginning after December 15, 2025, including interim periods within those fiscal years. Early adoption is permitted, and entities should apply the amendments prospectively. The Company is currently evaluating the impact that the adoption of this ASU will have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Income Statement – Reporting Comprehensive Income – Expense Disaggregation Disclosures (Subtopic 220-40):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public business entities to disclose, for interim and annual reporting periods, additional information about certain income statement expense categories. The requirements are effective for fiscal years beginning after December 15, 2026, and for interim periods beginning after December 15, 2027. Entities are permitted to apply either the prospective or retrospective transition methods. The Company is currently evaluating the impact that the adoption of this ASU will have on its financial statements.</w:t>
      </w:r>
    </w:p>
    <w:p>
      <w:pPr>
        <w:pStyle w:val="TextBody"/>
        <w:bidi w:val="0"/>
        <w:spacing w:before="0" w:after="0"/>
        <w:jc w:val="both"/>
        <w:rPr>
          <w:caps w:val="false"/>
          <w:smallCaps w:val="false"/>
        </w:rPr>
      </w:pPr>
      <w:bookmarkStart w:id="322" w:name="xdx_85B_zmb97mmJ4Fok"/>
      <w:bookmarkEnd w:id="32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323" w:name="xdx_802_ecustom--PrepaidExpensesAndOther"/>
      <w:bookmarkEnd w:id="323"/>
      <w:r>
        <w:rPr>
          <w:rFonts w:ascii="Times New Roman;Times;Serif" w:hAnsi="Times New Roman;Times;Serif"/>
          <w:b/>
          <w:i w:val="false"/>
          <w:caps w:val="false"/>
          <w:smallCaps w:val="false"/>
          <w:sz w:val="20"/>
          <w:shd w:fill="FFFFFF" w:val="clear"/>
        </w:rPr>
        <w:t xml:space="preserve">3. </w:t>
      </w:r>
      <w:bookmarkStart w:id="324" w:name="xdx_82C_zYTlvKl5t0We"/>
      <w:bookmarkEnd w:id="324"/>
      <w:r>
        <w:rPr>
          <w:rFonts w:ascii="Times New Roman;Times;Serif" w:hAnsi="Times New Roman;Times;Serif"/>
          <w:b/>
          <w:i w:val="false"/>
          <w:caps w:val="false"/>
          <w:smallCaps w:val="false"/>
          <w:sz w:val="20"/>
          <w:shd w:fill="FFFFFF" w:val="clear"/>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25" w:name="xdx_89A_eus-gaap--DeferredCostsCapitaliz"/>
      <w:bookmarkEnd w:id="325"/>
      <w:r>
        <w:rPr>
          <w:rFonts w:ascii="Times New Roman;Times;Serif" w:hAnsi="Times New Roman;Times;Serif"/>
          <w:b w:val="false"/>
          <w:i w:val="false"/>
          <w:caps w:val="false"/>
          <w:smallCaps w:val="false"/>
          <w:sz w:val="20"/>
        </w:rPr>
        <w:t>As of March 31, 2026 and 2025, 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bookmarkStart w:id="326" w:name="xdx_8BE_zX6IqnV1iPOb"/>
      <w:bookmarkEnd w:id="326"/>
      <w:r>
        <w:rPr>
          <w:rFonts w:ascii="Times New Roman;Times;Serif" w:hAnsi="Times New Roman;Times;Serif"/>
          <w:b w:val="false"/>
          <w:i w:val="false"/>
          <w:caps w:val="false"/>
          <w:smallCaps w:val="false"/>
          <w:sz w:val="20"/>
        </w:rPr>
        <w:t>Schedule of Prepaid Expenses and Other Current Assets</w:t>
      </w:r>
    </w:p>
    <w:tbl>
      <w:tblPr>
        <w:tblW w:w="6490" w:type="dxa"/>
        <w:jc w:val="left"/>
        <w:tblInd w:w="0" w:type="dxa"/>
        <w:tblLayout w:type="fixed"/>
        <w:tblCellMar>
          <w:top w:w="0" w:type="dxa"/>
          <w:left w:w="0" w:type="dxa"/>
          <w:bottom w:w="0" w:type="dxa"/>
          <w:right w:w="0" w:type="dxa"/>
        </w:tblCellMar>
      </w:tblPr>
      <w:tblGrid>
        <w:gridCol w:w="4475"/>
        <w:gridCol w:w="60"/>
        <w:gridCol w:w="140"/>
        <w:gridCol w:w="800"/>
        <w:gridCol w:w="60"/>
        <w:gridCol w:w="60"/>
        <w:gridCol w:w="140"/>
        <w:gridCol w:w="6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7" w:name="xdx_49B_20260331_z2bBDJjfbqc1"/>
            <w:bookmarkEnd w:id="32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8" w:name="xdx_497_20250331_zLnbnLfF0093"/>
            <w:bookmarkEnd w:id="328"/>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29" w:name="xdx_40D_eus-gaap--PrepaidExpenseCurrent_"/>
            <w:bookmarkEnd w:id="32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75" w:type="dxa"/>
            <w:tcBorders/>
            <w:shd w:fill="CCEEFF" w:val="clear"/>
            <w:vAlign w:val="center"/>
          </w:tcPr>
          <w:p>
            <w:pPr>
              <w:pStyle w:val="TableContents"/>
              <w:bidi w:val="0"/>
              <w:spacing w:before="0" w:after="283"/>
              <w:jc w:val="left"/>
              <w:rPr/>
            </w:pPr>
            <w:r>
              <w:rPr/>
              <w:t> </w:t>
            </w:r>
            <w:bookmarkStart w:id="330" w:name="xdx_40E_eus-gaap--DepositsAssetsCurrent_"/>
            <w:bookmarkEnd w:id="33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75" w:type="dxa"/>
            <w:tcBorders/>
            <w:shd w:fill="FFFFFF" w:val="clear"/>
            <w:vAlign w:val="center"/>
          </w:tcPr>
          <w:p>
            <w:pPr>
              <w:pStyle w:val="TableContents"/>
              <w:bidi w:val="0"/>
              <w:spacing w:before="0" w:after="283"/>
              <w:jc w:val="left"/>
              <w:rPr/>
            </w:pPr>
            <w:r>
              <w:rPr/>
              <w:t> </w:t>
            </w:r>
            <w:bookmarkStart w:id="331" w:name="xdx_400_eus-gaap--PrepaidTaxes_iI_pn3n3_"/>
            <w:bookmarkEnd w:id="331"/>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Consumption taxes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3,725</w:t>
            </w:r>
          </w:p>
        </w:tc>
        <w:tc>
          <w:tcPr>
            <w:tcW w:w="75" w:type="dxa"/>
            <w:tcBorders/>
            <w:shd w:fill="CCEEFF" w:val="clear"/>
            <w:vAlign w:val="center"/>
          </w:tcPr>
          <w:p>
            <w:pPr>
              <w:pStyle w:val="TableContents"/>
              <w:bidi w:val="0"/>
              <w:spacing w:before="0" w:after="283"/>
              <w:jc w:val="left"/>
              <w:rPr/>
            </w:pPr>
            <w:r>
              <w:rPr/>
              <w:t> </w:t>
            </w:r>
            <w:bookmarkStart w:id="332" w:name="xdx_405_eus-gaap--OtherAssetsCurrent_iI_"/>
            <w:bookmarkEnd w:id="332"/>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FFFFFF" w:val="clear"/>
            <w:vAlign w:val="center"/>
          </w:tcPr>
          <w:p>
            <w:pPr>
              <w:pStyle w:val="TableContents"/>
              <w:bidi w:val="0"/>
              <w:spacing w:before="0" w:after="283"/>
              <w:jc w:val="left"/>
              <w:rPr/>
            </w:pPr>
            <w:r>
              <w:rPr/>
              <w:t> </w:t>
            </w:r>
            <w:bookmarkStart w:id="333" w:name="xdx_40D_eus-gaap--PrepaidExpenseAndOther"/>
            <w:bookmarkEnd w:id="33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34" w:name="xdx_8AC_zULAsFlw9wRj"/>
      <w:bookmarkEnd w:id="3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prepaid expenses of JPY</w:t>
      </w:r>
      <w:bookmarkStart w:id="335" w:name="xdx_90A_eus-gaap--PrepaidExpenseCurrent_"/>
      <w:bookmarkEnd w:id="335"/>
      <w:r>
        <w:rPr>
          <w:rFonts w:ascii="Times New Roman;Times;Serif" w:hAnsi="Times New Roman;Times;Serif"/>
          <w:b w:val="false"/>
          <w:i w:val="false"/>
          <w:caps w:val="false"/>
          <w:smallCaps w:val="false"/>
          <w:sz w:val="20"/>
        </w:rPr>
        <w:t xml:space="preserve">96,691 primarily consisted of advance payments for marketing services, recruitment services, and business development advisory services. The related costs are recognized in selling, general and administrative expenses over the applicable contractual service periods as the services are rendered.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336" w:name="xdx_807_eus-gaap--PropertyPlantAndEquipm"/>
      <w:bookmarkEnd w:id="336"/>
      <w:r>
        <w:rPr>
          <w:rFonts w:ascii="Times New Roman;Times;Serif" w:hAnsi="Times New Roman;Times;Serif"/>
          <w:b/>
          <w:i w:val="false"/>
          <w:caps w:val="false"/>
          <w:smallCaps w:val="false"/>
          <w:sz w:val="20"/>
          <w:shd w:fill="FFFFFF" w:val="clear"/>
        </w:rPr>
        <w:t xml:space="preserve">4. </w:t>
      </w:r>
      <w:bookmarkStart w:id="337" w:name="xdx_821_zUZZ8PhvQSRi"/>
      <w:bookmarkEnd w:id="337"/>
      <w:r>
        <w:rPr>
          <w:rFonts w:ascii="Times New Roman;Times;Serif" w:hAnsi="Times New Roman;Times;Serif"/>
          <w:b/>
          <w:i w:val="false"/>
          <w:caps w:val="false"/>
          <w:smallCaps w:val="false"/>
          <w:sz w:val="20"/>
          <w:shd w:fill="FFFFFF" w:val="clear"/>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8" w:name="xdx_896_eus-gaap--PropertyPlantAndEquipm"/>
      <w:bookmarkEnd w:id="338"/>
      <w:r>
        <w:rPr>
          <w:rFonts w:ascii="Times New Roman;Times;Serif" w:hAnsi="Times New Roman;Times;Serif"/>
          <w:b w:val="false"/>
          <w:i w:val="false"/>
          <w:caps w:val="false"/>
          <w:smallCaps w:val="false"/>
          <w:sz w:val="20"/>
        </w:rPr>
        <w:t>As of March 31, 2026 and 2025, property and equipment consisted of the following:</w:t>
      </w:r>
    </w:p>
    <w:p>
      <w:pPr>
        <w:pStyle w:val="TextBody"/>
        <w:bidi w:val="0"/>
        <w:spacing w:before="0" w:after="0"/>
        <w:ind w:left="0" w:right="0" w:hanging="0"/>
        <w:jc w:val="both"/>
        <w:rPr>
          <w:caps w:val="false"/>
          <w:smallCaps w:val="false"/>
        </w:rPr>
      </w:pPr>
      <w:r>
        <w:rPr>
          <w:caps w:val="false"/>
          <w:smallCaps w:val="false"/>
        </w:rPr>
        <w:t> </w:t>
      </w:r>
      <w:bookmarkStart w:id="339" w:name="xdx_8B1_z5r6O2ItlWq3"/>
      <w:bookmarkEnd w:id="339"/>
      <w:r>
        <w:rPr>
          <w:rFonts w:ascii="Times New Roman;Times;Serif" w:hAnsi="Times New Roman;Times;Serif"/>
          <w:b w:val="false"/>
          <w:i w:val="false"/>
          <w:caps w:val="false"/>
          <w:smallCaps w:val="false"/>
          <w:sz w:val="20"/>
        </w:rPr>
        <w:t>Schedule of Plant and Equipment, Net</w:t>
      </w:r>
    </w:p>
    <w:tbl>
      <w:tblPr>
        <w:tblW w:w="5210" w:type="dxa"/>
        <w:jc w:val="left"/>
        <w:tblInd w:w="0" w:type="dxa"/>
        <w:tblLayout w:type="fixed"/>
        <w:tblCellMar>
          <w:top w:w="0" w:type="dxa"/>
          <w:left w:w="0" w:type="dxa"/>
          <w:bottom w:w="0" w:type="dxa"/>
          <w:right w:w="0" w:type="dxa"/>
        </w:tblCellMar>
      </w:tblPr>
      <w:tblGrid>
        <w:gridCol w:w="3245"/>
        <w:gridCol w:w="60"/>
        <w:gridCol w:w="140"/>
        <w:gridCol w:w="680"/>
        <w:gridCol w:w="95"/>
        <w:gridCol w:w="60"/>
        <w:gridCol w:w="140"/>
        <w:gridCol w:w="680"/>
        <w:gridCol w:w="110"/>
      </w:tblGrid>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0" w:name="xdx_49F_20260331_zzcCBfEwHN08"/>
            <w:bookmarkEnd w:id="340"/>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1" w:name="xdx_499_20250331_z5lDgHiNDmek"/>
            <w:bookmarkEnd w:id="341"/>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342" w:name="xdx_402_eus-gaap--PropertyPlantAndEquipm"/>
            <w:bookmarkEnd w:id="342"/>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3,664</w:t>
            </w:r>
          </w:p>
        </w:tc>
        <w:tc>
          <w:tcPr>
            <w:tcW w:w="110" w:type="dxa"/>
            <w:tcBorders/>
            <w:shd w:fill="CCEEFF" w:val="clear"/>
            <w:vAlign w:val="center"/>
          </w:tcPr>
          <w:p>
            <w:pPr>
              <w:pStyle w:val="TableContents"/>
              <w:bidi w:val="0"/>
              <w:spacing w:before="0" w:after="283"/>
              <w:jc w:val="left"/>
              <w:rPr/>
            </w:pPr>
            <w:r>
              <w:rPr/>
              <w:t> </w:t>
            </w:r>
            <w:bookmarkStart w:id="343" w:name="xdx_40A_eus-gaap--PropertyPlantAndEquipm"/>
            <w:bookmarkEnd w:id="343"/>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Tooling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w:t>
            </w:r>
          </w:p>
        </w:tc>
        <w:tc>
          <w:tcPr>
            <w:tcW w:w="110" w:type="dxa"/>
            <w:tcBorders/>
            <w:shd w:fill="FFFFFF" w:val="clear"/>
            <w:vAlign w:val="center"/>
          </w:tcPr>
          <w:p>
            <w:pPr>
              <w:pStyle w:val="TableContents"/>
              <w:bidi w:val="0"/>
              <w:spacing w:before="0" w:after="283"/>
              <w:jc w:val="left"/>
              <w:rPr/>
            </w:pPr>
            <w:r>
              <w:rPr/>
              <w:t> </w:t>
            </w:r>
            <w:bookmarkStart w:id="344" w:name="xdx_40E_eus-gaap--PropertyPlantAndEquipm"/>
            <w:bookmarkEnd w:id="344"/>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and other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110" w:type="dxa"/>
            <w:tcBorders/>
            <w:shd w:fill="CCEEFF" w:val="clear"/>
            <w:vAlign w:val="center"/>
          </w:tcPr>
          <w:p>
            <w:pPr>
              <w:pStyle w:val="TableContents"/>
              <w:bidi w:val="0"/>
              <w:spacing w:before="0" w:after="283"/>
              <w:jc w:val="left"/>
              <w:rPr/>
            </w:pPr>
            <w:r>
              <w:rPr/>
              <w:t> </w:t>
            </w:r>
            <w:bookmarkStart w:id="345" w:name="xdx_40E_eus-gaap--PropertyPlantAndEquipm"/>
            <w:bookmarkEnd w:id="345"/>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Motor vehicle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7,218</w:t>
            </w:r>
          </w:p>
        </w:tc>
        <w:tc>
          <w:tcPr>
            <w:tcW w:w="110" w:type="dxa"/>
            <w:tcBorders/>
            <w:shd w:fill="FFFFFF" w:val="clear"/>
            <w:vAlign w:val="center"/>
          </w:tcPr>
          <w:p>
            <w:pPr>
              <w:pStyle w:val="TableContents"/>
              <w:bidi w:val="0"/>
              <w:spacing w:before="0" w:after="283"/>
              <w:jc w:val="left"/>
              <w:rPr/>
            </w:pPr>
            <w:r>
              <w:rPr/>
              <w:t> </w:t>
            </w:r>
            <w:bookmarkStart w:id="346" w:name="xdx_405_eus-gaap--PropertyPlantAndEquipm"/>
            <w:bookmarkEnd w:id="346"/>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11,527</w:t>
            </w:r>
          </w:p>
        </w:tc>
        <w:tc>
          <w:tcPr>
            <w:tcW w:w="110" w:type="dxa"/>
            <w:tcBorders/>
            <w:shd w:fill="CCEEFF" w:val="clear"/>
            <w:vAlign w:val="center"/>
          </w:tcPr>
          <w:p>
            <w:pPr>
              <w:pStyle w:val="TableContents"/>
              <w:bidi w:val="0"/>
              <w:spacing w:before="0" w:after="283"/>
              <w:jc w:val="left"/>
              <w:rPr/>
            </w:pPr>
            <w:r>
              <w:rPr/>
              <w:t> </w:t>
            </w:r>
            <w:bookmarkStart w:id="347" w:name="xdx_40D_eus-gaap--AccumulatedDepreciatio"/>
            <w:bookmarkEnd w:id="347"/>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8" w:name="xdx_402_eus-gaap--PropertyPlantAndEquipm"/>
            <w:bookmarkEnd w:id="348"/>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9" w:name="xdx_8A3_zYTATeYwb5Ea"/>
      <w:bookmarkEnd w:id="3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depreciation expenses on property and equipment of JPY</w:t>
      </w:r>
      <w:bookmarkStart w:id="350" w:name="xdx_902_eus-gaap--Depreciation_pn3n3_uJP"/>
      <w:bookmarkEnd w:id="350"/>
      <w:r>
        <w:rPr>
          <w:rFonts w:ascii="Times New Roman;Times;Serif" w:hAnsi="Times New Roman;Times;Serif"/>
          <w:b w:val="false"/>
          <w:i w:val="false"/>
          <w:caps w:val="false"/>
          <w:smallCaps w:val="false"/>
          <w:sz w:val="20"/>
        </w:rPr>
        <w:t>1,559 and JPY</w:t>
      </w:r>
      <w:bookmarkStart w:id="351" w:name="xdx_906_eus-gaap--Depreciation_pn3n3_uJP"/>
      <w:bookmarkEnd w:id="351"/>
      <w:r>
        <w:rPr>
          <w:rFonts w:ascii="Times New Roman;Times;Serif" w:hAnsi="Times New Roman;Times;Serif"/>
          <w:b w:val="false"/>
          <w:i w:val="false"/>
          <w:caps w:val="false"/>
          <w:smallCaps w:val="false"/>
          <w:sz w:val="20"/>
        </w:rPr>
        <w:t>2,570 during the fiscal years ended March 31, 2026 and 2025, respectively. The Company records depreciation expenses in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2" w:name="xdx_803_eus-gaap--IntangibleAssetsDisclo"/>
      <w:bookmarkEnd w:id="352"/>
      <w:r>
        <w:rPr>
          <w:rFonts w:ascii="Times New Roman;Times;Serif" w:hAnsi="Times New Roman;Times;Serif"/>
          <w:b/>
          <w:i w:val="false"/>
          <w:caps w:val="false"/>
          <w:smallCaps w:val="false"/>
          <w:sz w:val="20"/>
        </w:rPr>
        <w:t xml:space="preserve">5. </w:t>
      </w:r>
      <w:bookmarkStart w:id="353" w:name="xdx_828_z5Tbpq0F6AA6"/>
      <w:bookmarkEnd w:id="353"/>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54" w:name="xdx_890_eus-gaap--ScheduleOfFiniteLivedI"/>
      <w:bookmarkEnd w:id="354"/>
      <w:r>
        <w:rPr>
          <w:rFonts w:ascii="Times New Roman;Times;Serif" w:hAnsi="Times New Roman;Times;Serif"/>
          <w:b w:val="false"/>
          <w:i w:val="false"/>
          <w:caps w:val="false"/>
          <w:smallCaps w:val="false"/>
          <w:sz w:val="20"/>
        </w:rPr>
        <w:t>As of March 31, 2026 and 2025, intangible assets consisted of the following:</w:t>
      </w:r>
    </w:p>
    <w:p>
      <w:pPr>
        <w:pStyle w:val="TextBody"/>
        <w:bidi w:val="0"/>
        <w:spacing w:before="0" w:after="0"/>
        <w:ind w:left="0" w:right="0" w:hanging="0"/>
        <w:jc w:val="left"/>
        <w:rPr>
          <w:caps w:val="false"/>
          <w:smallCaps w:val="false"/>
        </w:rPr>
      </w:pPr>
      <w:r>
        <w:rPr>
          <w:caps w:val="false"/>
          <w:smallCaps w:val="false"/>
        </w:rPr>
        <w:t> </w:t>
      </w:r>
      <w:bookmarkStart w:id="355" w:name="xdx_8B9_zi1sT7L1FtY5"/>
      <w:bookmarkEnd w:id="355"/>
      <w:r>
        <w:rPr>
          <w:rFonts w:ascii="Times New Roman;Times;Serif" w:hAnsi="Times New Roman;Times;Serif"/>
          <w:b w:val="false"/>
          <w:i w:val="false"/>
          <w:caps w:val="false"/>
          <w:smallCaps w:val="false"/>
          <w:sz w:val="20"/>
        </w:rPr>
        <w:t>Schedule of Intangible Assets</w:t>
      </w:r>
    </w:p>
    <w:tbl>
      <w:tblPr>
        <w:tblW w:w="4925" w:type="dxa"/>
        <w:jc w:val="left"/>
        <w:tblInd w:w="0" w:type="dxa"/>
        <w:tblLayout w:type="fixed"/>
        <w:tblCellMar>
          <w:top w:w="0" w:type="dxa"/>
          <w:left w:w="0" w:type="dxa"/>
          <w:bottom w:w="0" w:type="dxa"/>
          <w:right w:w="0" w:type="dxa"/>
        </w:tblCellMar>
      </w:tblPr>
      <w:tblGrid>
        <w:gridCol w:w="3080"/>
        <w:gridCol w:w="60"/>
        <w:gridCol w:w="140"/>
        <w:gridCol w:w="680"/>
        <w:gridCol w:w="95"/>
        <w:gridCol w:w="60"/>
        <w:gridCol w:w="140"/>
        <w:gridCol w:w="560"/>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6" w:name="xdx_49F_20260331_zWbfPwX7j1r1"/>
            <w:bookmarkEnd w:id="356"/>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7" w:name="xdx_499_20250331_zXonqZBe8cxk"/>
            <w:bookmarkEnd w:id="357"/>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358" w:name="xdx_40D_eus-gaap--FiniteLivedIntangibleA"/>
            <w:bookmarkEnd w:id="358"/>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2,101</w:t>
            </w:r>
          </w:p>
        </w:tc>
        <w:tc>
          <w:tcPr>
            <w:tcW w:w="110" w:type="dxa"/>
            <w:tcBorders/>
            <w:shd w:fill="CCEEFF" w:val="clear"/>
            <w:vAlign w:val="center"/>
          </w:tcPr>
          <w:p>
            <w:pPr>
              <w:pStyle w:val="TableContents"/>
              <w:bidi w:val="0"/>
              <w:spacing w:before="0" w:after="283"/>
              <w:jc w:val="left"/>
              <w:rPr/>
            </w:pPr>
            <w:r>
              <w:rPr/>
              <w:t> </w:t>
            </w:r>
            <w:bookmarkStart w:id="359" w:name="xdx_402_eus-gaap--FiniteLivedIntangibleA"/>
            <w:bookmarkEnd w:id="359"/>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110" w:type="dxa"/>
            <w:tcBorders/>
            <w:shd w:fill="FFFFFF" w:val="clear"/>
            <w:vAlign w:val="center"/>
          </w:tcPr>
          <w:p>
            <w:pPr>
              <w:pStyle w:val="TableContents"/>
              <w:bidi w:val="0"/>
              <w:spacing w:before="0" w:after="283"/>
              <w:jc w:val="left"/>
              <w:rPr/>
            </w:pPr>
            <w:r>
              <w:rPr/>
              <w:t> </w:t>
            </w:r>
            <w:bookmarkStart w:id="360" w:name="xdx_402_eus-gaap--FiniteLivedIntangibleA"/>
            <w:bookmarkEnd w:id="360"/>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61" w:name="xdx_401_eus-gaap--FiniteLivedIntangibleA"/>
            <w:bookmarkEnd w:id="361"/>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 Work-in-progress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4,691</w:t>
            </w:r>
          </w:p>
        </w:tc>
        <w:tc>
          <w:tcPr>
            <w:tcW w:w="110" w:type="dxa"/>
            <w:tcBorders/>
            <w:shd w:fill="FFFFFF" w:val="clear"/>
            <w:vAlign w:val="center"/>
          </w:tcPr>
          <w:p>
            <w:pPr>
              <w:pStyle w:val="TableContents"/>
              <w:bidi w:val="0"/>
              <w:spacing w:before="0" w:after="283"/>
              <w:jc w:val="left"/>
              <w:rPr/>
            </w:pPr>
            <w:r>
              <w:rPr/>
              <w:t> </w:t>
            </w:r>
            <w:bookmarkStart w:id="362" w:name="xdx_40C_eus-gaap--FiniteLivedIntangibleA"/>
            <w:bookmarkEnd w:id="362"/>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7,565</w:t>
            </w:r>
          </w:p>
        </w:tc>
        <w:tc>
          <w:tcPr>
            <w:tcW w:w="110" w:type="dxa"/>
            <w:tcBorders/>
            <w:shd w:fill="CCEEFF" w:val="clear"/>
            <w:vAlign w:val="center"/>
          </w:tcPr>
          <w:p>
            <w:pPr>
              <w:pStyle w:val="TableContents"/>
              <w:bidi w:val="0"/>
              <w:spacing w:before="0" w:after="283"/>
              <w:jc w:val="left"/>
              <w:rPr/>
            </w:pPr>
            <w:r>
              <w:rPr/>
              <w:t> </w:t>
            </w:r>
            <w:bookmarkStart w:id="363" w:name="xdx_404_eus-gaap--FiniteLivedIntangibleA"/>
            <w:bookmarkEnd w:id="363"/>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4" w:name="xdx_402_eus-gaap--FiniteLivedIntangibleA"/>
            <w:bookmarkEnd w:id="364"/>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5" w:name="xdx_8AE_zkZ7NtFqpJci"/>
      <w:bookmarkEnd w:id="3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amortization expenses on intangible assets of JPY</w:t>
      </w:r>
      <w:bookmarkStart w:id="366" w:name="xdx_900_eus-gaap--AmortizationOfIntangib"/>
      <w:bookmarkEnd w:id="366"/>
      <w:r>
        <w:rPr>
          <w:rFonts w:ascii="Times New Roman;Times;Serif" w:hAnsi="Times New Roman;Times;Serif"/>
          <w:b w:val="false"/>
          <w:i w:val="false"/>
          <w:caps w:val="false"/>
          <w:smallCaps w:val="false"/>
          <w:sz w:val="20"/>
        </w:rPr>
        <w:t>2,778 and JPY</w:t>
      </w:r>
      <w:bookmarkStart w:id="367" w:name="xdx_90F_eus-gaap--AmortizationOfIntangib"/>
      <w:bookmarkEnd w:id="367"/>
      <w:r>
        <w:rPr>
          <w:rFonts w:ascii="Times New Roman;Times;Serif" w:hAnsi="Times New Roman;Times;Serif"/>
          <w:b w:val="false"/>
          <w:i w:val="false"/>
          <w:caps w:val="false"/>
          <w:smallCaps w:val="false"/>
          <w:sz w:val="20"/>
        </w:rPr>
        <w:t>322 during the fiscal years ended March 31, 2026 and 2025, respectively. The Company records amortization expenses in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C_eus-gaap--CryptoAssetTextBlock_z"/>
      <w:bookmarkEnd w:id="368"/>
      <w:r>
        <w:rPr>
          <w:rFonts w:ascii="Times New Roman;Times;Serif" w:hAnsi="Times New Roman;Times;Serif"/>
          <w:b/>
          <w:i w:val="false"/>
          <w:caps w:val="false"/>
          <w:smallCaps w:val="false"/>
          <w:sz w:val="20"/>
        </w:rPr>
        <w:t>6</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 xml:space="preserve"> </w:t>
      </w:r>
      <w:bookmarkStart w:id="369" w:name="xdx_82F_z3XQBgoV0TJj"/>
      <w:bookmarkEnd w:id="369"/>
      <w:r>
        <w:rPr>
          <w:rFonts w:ascii="Times New Roman;Times;Serif" w:hAnsi="Times New Roman;Times;Serif"/>
          <w:b/>
          <w:i w:val="false"/>
          <w:caps w:val="false"/>
          <w:smallCaps w:val="false"/>
          <w:sz w:val="20"/>
        </w:rPr>
        <w:t>Crypto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91_eus-gaap--CryptoAssetHoldingTabl"/>
      <w:bookmarkEnd w:id="370"/>
      <w:r>
        <w:rPr>
          <w:rFonts w:ascii="Times New Roman;Times;Serif" w:hAnsi="Times New Roman;Times;Serif"/>
          <w:b w:val="false"/>
          <w:i w:val="false"/>
          <w:caps w:val="false"/>
          <w:smallCaps w:val="false"/>
          <w:sz w:val="20"/>
        </w:rPr>
        <w:t>The table below presents the Company’s crypto assets measured at fair value as of March 31, 2026. There were no crypto assets owned by the Company as of March 31, 2025.</w:t>
      </w:r>
    </w:p>
    <w:p>
      <w:pPr>
        <w:pStyle w:val="TextBody"/>
        <w:bidi w:val="0"/>
        <w:spacing w:before="0" w:after="0"/>
        <w:ind w:left="0" w:right="0" w:hanging="0"/>
        <w:jc w:val="both"/>
        <w:rPr>
          <w:caps w:val="false"/>
          <w:smallCaps w:val="false"/>
        </w:rPr>
      </w:pPr>
      <w:r>
        <w:rPr>
          <w:caps w:val="false"/>
          <w:smallCaps w:val="false"/>
        </w:rPr>
        <w:t> </w:t>
      </w:r>
      <w:bookmarkStart w:id="371" w:name="xdx_8B8_zGyBy4MdGQ1b"/>
      <w:bookmarkEnd w:id="371"/>
      <w:r>
        <w:rPr>
          <w:rFonts w:ascii="Times New Roman;Times;Serif" w:hAnsi="Times New Roman;Times;Serif"/>
          <w:b w:val="false"/>
          <w:i w:val="false"/>
          <w:caps w:val="false"/>
          <w:smallCaps w:val="false"/>
          <w:sz w:val="20"/>
        </w:rPr>
        <w:t>Schedule of Crypto Assets Measured at Fair Value</w:t>
      </w:r>
    </w:p>
    <w:tbl>
      <w:tblPr>
        <w:tblW w:w="8160" w:type="dxa"/>
        <w:jc w:val="left"/>
        <w:tblInd w:w="0" w:type="dxa"/>
        <w:tblLayout w:type="fixed"/>
        <w:tblCellMar>
          <w:top w:w="0" w:type="dxa"/>
          <w:left w:w="0" w:type="dxa"/>
          <w:bottom w:w="28" w:type="dxa"/>
          <w:right w:w="0" w:type="dxa"/>
        </w:tblCellMar>
      </w:tblPr>
      <w:tblGrid>
        <w:gridCol w:w="1790"/>
        <w:gridCol w:w="60"/>
        <w:gridCol w:w="845"/>
        <w:gridCol w:w="60"/>
        <w:gridCol w:w="175"/>
        <w:gridCol w:w="850"/>
        <w:gridCol w:w="60"/>
        <w:gridCol w:w="175"/>
        <w:gridCol w:w="850"/>
        <w:gridCol w:w="60"/>
        <w:gridCol w:w="2030"/>
        <w:gridCol w:w="60"/>
        <w:gridCol w:w="1145"/>
      </w:tblGrid>
      <w:tr>
        <w:trPr/>
        <w:tc>
          <w:tcPr>
            <w:tcW w:w="8160" w:type="dxa"/>
            <w:gridSpan w:val="13"/>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Quantity</w:t>
            </w:r>
          </w:p>
        </w:tc>
        <w:tc>
          <w:tcPr>
            <w:tcW w:w="60" w:type="dxa"/>
            <w:tcBorders/>
            <w:tcMar>
              <w:bottom w:w="0" w:type="dxa"/>
            </w:tcMar>
            <w:vAlign w:val="center"/>
          </w:tcPr>
          <w:p>
            <w:pPr>
              <w:pStyle w:val="TableContents"/>
              <w:bidi w:val="0"/>
              <w:spacing w:before="0" w:after="283"/>
              <w:jc w:val="center"/>
              <w:rPr/>
            </w:pPr>
            <w:r>
              <w:rPr/>
              <w:t> </w:t>
            </w:r>
          </w:p>
        </w:tc>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Cost Basis</w:t>
            </w:r>
          </w:p>
        </w:tc>
        <w:tc>
          <w:tcPr>
            <w:tcW w:w="60" w:type="dxa"/>
            <w:tcBorders/>
            <w:tcMar>
              <w:bottom w:w="0" w:type="dxa"/>
            </w:tcMar>
            <w:vAlign w:val="center"/>
          </w:tcPr>
          <w:p>
            <w:pPr>
              <w:pStyle w:val="TableContents"/>
              <w:bidi w:val="0"/>
              <w:spacing w:before="0" w:after="283"/>
              <w:jc w:val="center"/>
              <w:rPr/>
            </w:pPr>
            <w:r>
              <w:rPr/>
              <w:t> </w:t>
            </w:r>
          </w:p>
        </w:tc>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tcMar>
              <w:bottom w:w="0" w:type="dxa"/>
            </w:tcMar>
            <w:vAlign w:val="center"/>
          </w:tcPr>
          <w:p>
            <w:pPr>
              <w:pStyle w:val="TableContents"/>
              <w:bidi w:val="0"/>
              <w:spacing w:before="0" w:after="283"/>
              <w:jc w:val="center"/>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 Hierarchy</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Restrictions</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Ethereum</w:t>
            </w:r>
          </w:p>
        </w:tc>
        <w:tc>
          <w:tcPr>
            <w:tcW w:w="60" w:type="dxa"/>
            <w:tcBorders/>
            <w:shd w:fill="CCEEFF" w:val="clear"/>
            <w:tcMar>
              <w:bottom w:w="0" w:type="dxa"/>
            </w:tcMar>
            <w:vAlign w:val="center"/>
          </w:tcPr>
          <w:p>
            <w:pPr>
              <w:pStyle w:val="TableContents"/>
              <w:bidi w:val="0"/>
              <w:spacing w:before="0" w:after="283"/>
              <w:jc w:val="left"/>
              <w:rPr/>
            </w:pPr>
            <w:r>
              <w:rPr/>
              <w:t> </w:t>
            </w:r>
            <w:bookmarkStart w:id="372" w:name="xdx_98A_eus-gaap--CryptoAssetNumberOfUni"/>
            <w:bookmarkEnd w:id="372"/>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3" w:name="xdx_988_eus-gaap--CryptoAssetCost_iI_pn3"/>
            <w:bookmarkEnd w:id="373"/>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4" w:name="xdx_98B_eus-gaap--CryptoAssetFairValue_i"/>
            <w:bookmarkEnd w:id="374"/>
          </w:p>
        </w:tc>
        <w:tc>
          <w:tcPr>
            <w:tcW w:w="8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Level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crypto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5" w:name="xdx_98D_eus-gaap--CryptoAssetFairValue_i"/>
            <w:bookmarkEnd w:id="375"/>
          </w:p>
        </w:tc>
        <w:tc>
          <w:tcPr>
            <w:tcW w:w="8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bookmarkStart w:id="376" w:name="xdx_8AD_zkfS7MmPXEO6"/>
      <w:bookmarkEnd w:id="3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and 2025, the Company recognized unrealized loss of JPY</w:t>
      </w:r>
      <w:bookmarkStart w:id="377" w:name="xdx_90C_eus-gaap--CryptoAssetUnrealizedL"/>
      <w:bookmarkEnd w:id="377"/>
      <w:r>
        <w:rPr>
          <w:rFonts w:ascii="Times New Roman;Times;Serif" w:hAnsi="Times New Roman;Times;Serif"/>
          <w:b w:val="false"/>
          <w:i w:val="false"/>
          <w:caps w:val="false"/>
          <w:smallCaps w:val="false"/>
          <w:sz w:val="20"/>
        </w:rPr>
        <w:t xml:space="preserve">8,541 and </w:t>
      </w:r>
      <w:bookmarkStart w:id="378" w:name="xdx_90B_eus-gaap--CryptoAssetUnrealizedL"/>
      <w:bookmarkEnd w:id="378"/>
      <w:r>
        <w:rPr>
          <w:rFonts w:ascii="Times New Roman;Times;Serif" w:hAnsi="Times New Roman;Times;Serif"/>
          <w:b w:val="false"/>
          <w:i w:val="false"/>
          <w:caps w:val="false"/>
          <w:smallCaps w:val="false"/>
          <w:sz w:val="20"/>
        </w:rPr>
        <w:t>nil, respectively, from changes in fair value. Unrealized loss is included in other expenses, net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9" w:name="xdx_897_eus-gaap--CryptoAssetActivityTab"/>
      <w:bookmarkEnd w:id="379"/>
      <w:r>
        <w:rPr>
          <w:rFonts w:ascii="Times New Roman;Times;Serif" w:hAnsi="Times New Roman;Times;Serif"/>
          <w:b w:val="false"/>
          <w:i w:val="false"/>
          <w:caps w:val="false"/>
          <w:smallCaps w:val="false"/>
          <w:sz w:val="20"/>
        </w:rPr>
        <w:t>The following table summarizes the activity of the Company’s crypto assets during the fiscal year ended March 31, 2026:</w:t>
      </w:r>
    </w:p>
    <w:p>
      <w:pPr>
        <w:pStyle w:val="TextBody"/>
        <w:bidi w:val="0"/>
        <w:spacing w:before="0" w:after="0"/>
        <w:ind w:left="0" w:right="0" w:hanging="0"/>
        <w:jc w:val="both"/>
        <w:rPr>
          <w:caps w:val="false"/>
          <w:smallCaps w:val="false"/>
        </w:rPr>
      </w:pPr>
      <w:r>
        <w:rPr>
          <w:caps w:val="false"/>
          <w:smallCaps w:val="false"/>
        </w:rPr>
        <w:t> </w:t>
      </w:r>
      <w:bookmarkStart w:id="380" w:name="xdx_8B9_zlybM9rGIVzc"/>
      <w:bookmarkEnd w:id="380"/>
      <w:r>
        <w:rPr>
          <w:rFonts w:ascii="Times New Roman;Times;Serif" w:hAnsi="Times New Roman;Times;Serif"/>
          <w:b w:val="false"/>
          <w:i w:val="false"/>
          <w:caps w:val="false"/>
          <w:smallCaps w:val="false"/>
          <w:sz w:val="20"/>
        </w:rPr>
        <w:t>Summary of Activity of Crypto Assets</w:t>
      </w:r>
    </w:p>
    <w:tbl>
      <w:tblPr>
        <w:tblW w:w="3584" w:type="dxa"/>
        <w:jc w:val="left"/>
        <w:tblInd w:w="0" w:type="dxa"/>
        <w:tblLayout w:type="fixed"/>
        <w:tblCellMar>
          <w:top w:w="0" w:type="dxa"/>
          <w:left w:w="0" w:type="dxa"/>
          <w:bottom w:w="0" w:type="dxa"/>
          <w:right w:w="0" w:type="dxa"/>
        </w:tblCellMar>
      </w:tblPr>
      <w:tblGrid>
        <w:gridCol w:w="1805"/>
        <w:gridCol w:w="60"/>
        <w:gridCol w:w="274"/>
        <w:gridCol w:w="1335"/>
        <w:gridCol w:w="110"/>
      </w:tblGrid>
      <w:tr>
        <w:trPr/>
        <w:tc>
          <w:tcPr>
            <w:tcW w:w="3584" w:type="dxa"/>
            <w:gridSpan w:val="5"/>
            <w:tcBorders/>
            <w:vAlign w:val="center"/>
          </w:tcPr>
          <w:p>
            <w:pPr>
              <w:pStyle w:val="TableContents"/>
              <w:bidi w:val="0"/>
              <w:spacing w:before="0" w:after="283"/>
              <w:jc w:val="left"/>
              <w:rPr>
                <w:sz w:val="4"/>
                <w:szCs w:val="4"/>
              </w:rPr>
            </w:pPr>
            <w:r>
              <w:rPr>
                <w:sz w:val="4"/>
                <w:szCs w:val="4"/>
              </w:rPr>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 2026</w:t>
            </w:r>
          </w:p>
        </w:tc>
        <w:tc>
          <w:tcPr>
            <w:tcW w:w="11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1" w:name="xdx_984_eus-gaap--CryptoAssetFairValue_i"/>
            <w:bookmarkEnd w:id="381"/>
          </w:p>
        </w:tc>
        <w:tc>
          <w:tcPr>
            <w:tcW w:w="13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bookmarkStart w:id="382" w:name="xdx_98B_eus-gaap--CryptoAssetAddition_pn"/>
            <w:bookmarkEnd w:id="382"/>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1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Recognized loss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3" w:name="xdx_982_eus-gaap--CryptoAssetUnrealizedL"/>
            <w:bookmarkEnd w:id="383"/>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4" w:name="xdx_985_eus-gaap--CryptoAssetFairValue_i"/>
            <w:bookmarkEnd w:id="384"/>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5" w:name="xdx_80B_eus-gaap--LesseeOperatingLeasesT"/>
      <w:bookmarkEnd w:id="385"/>
      <w:r>
        <w:rPr>
          <w:rFonts w:ascii="Times New Roman;Times;Serif" w:hAnsi="Times New Roman;Times;Serif"/>
          <w:b/>
          <w:i w:val="false"/>
          <w:caps w:val="false"/>
          <w:smallCaps w:val="false"/>
          <w:sz w:val="20"/>
        </w:rPr>
        <w:t xml:space="preserve">7. </w:t>
      </w:r>
      <w:bookmarkStart w:id="386" w:name="xdx_821_ziqq8GQAp8Dh"/>
      <w:bookmarkEnd w:id="386"/>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7" w:name="xdx_89F_eus-gaap--ScheduleOfAmountsRecog"/>
      <w:bookmarkEnd w:id="387"/>
      <w:r>
        <w:rPr>
          <w:rFonts w:ascii="Times New Roman;Times;Serif" w:hAnsi="Times New Roman;Times;Serif"/>
          <w:b w:val="false"/>
          <w:i w:val="false"/>
          <w:caps w:val="false"/>
          <w:smallCaps w:val="false"/>
          <w:sz w:val="20"/>
        </w:rPr>
        <w:t>The Company has an operating lease for office space. As of March 31, 2026 and 2025, the following amounts were recorded on the Balance Sheets relating to the Company’s operating lease.</w:t>
      </w:r>
    </w:p>
    <w:p>
      <w:pPr>
        <w:pStyle w:val="TextBody"/>
        <w:bidi w:val="0"/>
        <w:spacing w:before="0" w:after="0"/>
        <w:ind w:left="0" w:right="0" w:hanging="0"/>
        <w:jc w:val="both"/>
        <w:rPr>
          <w:caps w:val="false"/>
          <w:smallCaps w:val="false"/>
        </w:rPr>
      </w:pPr>
      <w:r>
        <w:rPr>
          <w:caps w:val="false"/>
          <w:smallCaps w:val="false"/>
        </w:rPr>
        <w:t> </w:t>
      </w:r>
      <w:bookmarkStart w:id="388" w:name="xdx_8B7_z15QzLUGJLF2"/>
      <w:bookmarkEnd w:id="388"/>
      <w:r>
        <w:rPr>
          <w:rFonts w:ascii="Times New Roman;Times;Serif" w:hAnsi="Times New Roman;Times;Serif"/>
          <w:b w:val="false"/>
          <w:i w:val="false"/>
          <w:caps w:val="false"/>
          <w:smallCaps w:val="false"/>
          <w:sz w:val="20"/>
        </w:rPr>
        <w:t>Schedule of Operating Lease Right of Use Assets and Lease Liabilities</w:t>
      </w:r>
    </w:p>
    <w:tbl>
      <w:tblPr>
        <w:tblW w:w="5230" w:type="dxa"/>
        <w:jc w:val="left"/>
        <w:tblInd w:w="0" w:type="dxa"/>
        <w:tblLayout w:type="fixed"/>
        <w:tblCellMar>
          <w:top w:w="0" w:type="dxa"/>
          <w:left w:w="0" w:type="dxa"/>
          <w:bottom w:w="0" w:type="dxa"/>
          <w:right w:w="0" w:type="dxa"/>
        </w:tblCellMar>
      </w:tblPr>
      <w:tblGrid>
        <w:gridCol w:w="3755"/>
        <w:gridCol w:w="60"/>
        <w:gridCol w:w="140"/>
        <w:gridCol w:w="560"/>
        <w:gridCol w:w="60"/>
        <w:gridCol w:w="60"/>
        <w:gridCol w:w="140"/>
        <w:gridCol w:w="380"/>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9" w:name="xdx_49C_20260331_zIBNyCDac6Hh"/>
            <w:bookmarkEnd w:id="389"/>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0" w:name="xdx_499_20250331_z1TLFOrAbbi"/>
            <w:bookmarkEnd w:id="390"/>
          </w:p>
        </w:tc>
        <w:tc>
          <w:tcPr>
            <w:tcW w:w="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1" w:name="xdx_405_eus-gaap--OperatingLeaseRightOfU"/>
            <w:bookmarkEnd w:id="39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2" w:name="xdx_402_eus-gaap--OperatingLeaseLiabilit"/>
            <w:bookmarkEnd w:id="392"/>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75" w:type="dxa"/>
            <w:tcBorders/>
            <w:shd w:fill="FFFFFF" w:val="clear"/>
            <w:vAlign w:val="center"/>
          </w:tcPr>
          <w:p>
            <w:pPr>
              <w:pStyle w:val="TableContents"/>
              <w:bidi w:val="0"/>
              <w:spacing w:before="0" w:after="283"/>
              <w:jc w:val="left"/>
              <w:rPr/>
            </w:pPr>
            <w:r>
              <w:rPr/>
              <w:t> </w:t>
            </w:r>
            <w:bookmarkStart w:id="393" w:name="xdx_400_eus-gaap--OperatingLeaseLiabilit"/>
            <w:bookmarkEnd w:id="39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4" w:name="xdx_8AE_zmDAGMrvGhA7"/>
      <w:bookmarkEnd w:id="3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9E_eus-gaap--LesseeOperatingLeaseLi"/>
      <w:bookmarkEnd w:id="395"/>
      <w:r>
        <w:rPr>
          <w:rFonts w:ascii="Times New Roman;Times;Serif" w:hAnsi="Times New Roman;Times;Serif"/>
          <w:b w:val="false"/>
          <w:i w:val="false"/>
          <w:caps w:val="false"/>
          <w:smallCaps w:val="false"/>
          <w:sz w:val="20"/>
        </w:rPr>
        <w:t>The following table summarizes the contractual maturities of operating lease liabilities as of March 31, 2026:</w:t>
      </w:r>
    </w:p>
    <w:p>
      <w:pPr>
        <w:pStyle w:val="TextBody"/>
        <w:bidi w:val="0"/>
        <w:spacing w:before="0" w:after="0"/>
        <w:ind w:left="0" w:right="0" w:hanging="0"/>
        <w:jc w:val="both"/>
        <w:rPr>
          <w:caps w:val="false"/>
          <w:smallCaps w:val="false"/>
        </w:rPr>
      </w:pPr>
      <w:r>
        <w:rPr>
          <w:caps w:val="false"/>
          <w:smallCaps w:val="false"/>
        </w:rPr>
        <w:t> </w:t>
      </w:r>
      <w:bookmarkStart w:id="396" w:name="xdx_8BE_zOUonSBp4wE1"/>
      <w:bookmarkEnd w:id="396"/>
      <w:r>
        <w:rPr>
          <w:rFonts w:ascii="Times New Roman;Times;Serif" w:hAnsi="Times New Roman;Times;Serif"/>
          <w:b w:val="false"/>
          <w:i w:val="false"/>
          <w:caps w:val="false"/>
          <w:smallCaps w:val="false"/>
          <w:sz w:val="20"/>
        </w:rPr>
        <w:t xml:space="preserve">Schedule of Contractual Maturities of Operating Lease Liabilities </w:t>
      </w:r>
    </w:p>
    <w:tbl>
      <w:tblPr>
        <w:tblW w:w="4220" w:type="dxa"/>
        <w:jc w:val="left"/>
        <w:tblInd w:w="0" w:type="dxa"/>
        <w:tblLayout w:type="fixed"/>
        <w:tblCellMar>
          <w:top w:w="0" w:type="dxa"/>
          <w:left w:w="0" w:type="dxa"/>
          <w:bottom w:w="0" w:type="dxa"/>
          <w:right w:w="0" w:type="dxa"/>
        </w:tblCellMar>
      </w:tblPr>
      <w:tblGrid>
        <w:gridCol w:w="3275"/>
        <w:gridCol w:w="60"/>
        <w:gridCol w:w="140"/>
        <w:gridCol w:w="635"/>
        <w:gridCol w:w="110"/>
      </w:tblGrid>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years ending March 31,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7" w:name="xdx_49C_20260331_ze4vo6OoYn5l"/>
            <w:bookmarkEnd w:id="397"/>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8" w:name="xdx_406_eus-gaap--LesseeOperatingLeaseLi"/>
            <w:bookmarkEnd w:id="398"/>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7,259</w:t>
            </w:r>
          </w:p>
        </w:tc>
        <w:tc>
          <w:tcPr>
            <w:tcW w:w="110" w:type="dxa"/>
            <w:tcBorders/>
            <w:shd w:fill="FFFFFF" w:val="clear"/>
            <w:vAlign w:val="center"/>
          </w:tcPr>
          <w:p>
            <w:pPr>
              <w:pStyle w:val="TableContents"/>
              <w:bidi w:val="0"/>
              <w:spacing w:before="0" w:after="283"/>
              <w:jc w:val="left"/>
              <w:rPr/>
            </w:pPr>
            <w:r>
              <w:rPr/>
              <w:t> </w:t>
            </w:r>
            <w:bookmarkStart w:id="399" w:name="xdx_403_eus-gaap--LesseeOperatingLeaseLi"/>
            <w:bookmarkEnd w:id="399"/>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w:t>
            </w:r>
          </w:p>
        </w:tc>
        <w:tc>
          <w:tcPr>
            <w:tcW w:w="110" w:type="dxa"/>
            <w:tcBorders/>
            <w:shd w:fill="CCEEFF" w:val="clear"/>
            <w:vAlign w:val="center"/>
          </w:tcPr>
          <w:p>
            <w:pPr>
              <w:pStyle w:val="TableContents"/>
              <w:bidi w:val="0"/>
              <w:spacing w:before="0" w:after="283"/>
              <w:jc w:val="left"/>
              <w:rPr/>
            </w:pPr>
            <w:r>
              <w:rPr/>
              <w:t> </w:t>
            </w:r>
            <w:bookmarkStart w:id="400" w:name="xdx_402_eus-gaap--LesseeOperatingLeaseLi"/>
            <w:bookmarkEnd w:id="400"/>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10" w:type="dxa"/>
            <w:tcBorders/>
            <w:shd w:fill="FFFFFF" w:val="clear"/>
            <w:vAlign w:val="center"/>
          </w:tcPr>
          <w:p>
            <w:pPr>
              <w:pStyle w:val="TableContents"/>
              <w:bidi w:val="0"/>
              <w:spacing w:before="0" w:after="283"/>
              <w:jc w:val="left"/>
              <w:rPr/>
            </w:pPr>
            <w:r>
              <w:rPr/>
              <w:t> </w:t>
            </w:r>
            <w:bookmarkStart w:id="401" w:name="xdx_40C_eus-gaap--LesseeOperatingLeaseLi"/>
            <w:bookmarkEnd w:id="401"/>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10" w:type="dxa"/>
            <w:tcBorders/>
            <w:shd w:fill="CCEEFF" w:val="clear"/>
            <w:vAlign w:val="center"/>
          </w:tcPr>
          <w:p>
            <w:pPr>
              <w:pStyle w:val="TableContents"/>
              <w:bidi w:val="0"/>
              <w:spacing w:before="0" w:after="283"/>
              <w:jc w:val="left"/>
              <w:rPr/>
            </w:pPr>
            <w:r>
              <w:rPr/>
              <w:t> </w:t>
            </w:r>
            <w:bookmarkStart w:id="402" w:name="xdx_40E_eus-gaap--LesseeOperatingLeaseLi"/>
            <w:bookmarkEnd w:id="402"/>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7,895</w:t>
            </w:r>
          </w:p>
        </w:tc>
        <w:tc>
          <w:tcPr>
            <w:tcW w:w="110" w:type="dxa"/>
            <w:tcBorders/>
            <w:shd w:fill="FFFFFF" w:val="clear"/>
            <w:vAlign w:val="center"/>
          </w:tcPr>
          <w:p>
            <w:pPr>
              <w:pStyle w:val="TableContents"/>
              <w:bidi w:val="0"/>
              <w:spacing w:before="0" w:after="283"/>
              <w:jc w:val="left"/>
              <w:rPr/>
            </w:pPr>
            <w:r>
              <w:rPr/>
              <w:t> </w:t>
            </w:r>
            <w:bookmarkStart w:id="403" w:name="xdx_40F_eus-gaap--LesseeOperatingLeaseLi"/>
            <w:bookmarkEnd w:id="403"/>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amounts representing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4" w:name="xdx_409_eus-gaap--OperatingLeaseLiabilit"/>
            <w:bookmarkEnd w:id="404"/>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7,822</w:t>
            </w:r>
          </w:p>
        </w:tc>
        <w:tc>
          <w:tcPr>
            <w:tcW w:w="110" w:type="dxa"/>
            <w:tcBorders/>
            <w:shd w:fill="FFFFFF" w:val="clear"/>
            <w:vAlign w:val="center"/>
          </w:tcPr>
          <w:p>
            <w:pPr>
              <w:pStyle w:val="TableContents"/>
              <w:bidi w:val="0"/>
              <w:spacing w:before="0" w:after="283"/>
              <w:jc w:val="left"/>
              <w:rPr/>
            </w:pPr>
            <w:r>
              <w:rPr/>
              <w:t> </w:t>
            </w:r>
            <w:bookmarkStart w:id="405" w:name="xdx_406_eus-gaap--OperatingLeaseLiabilit"/>
            <w:bookmarkEnd w:id="405"/>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6" w:name="xdx_404_eus-gaap--OperatingLeaseLiabilit"/>
            <w:bookmarkEnd w:id="406"/>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7" w:name="xdx_8A8_z1i8F2iUWWMk"/>
      <w:bookmarkEnd w:id="4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8" w:name="xdx_897_eus-gaap--OperatingLeaseLeaseInc"/>
      <w:bookmarkEnd w:id="408"/>
      <w:r>
        <w:rPr>
          <w:rFonts w:ascii="Times New Roman;Times;Serif" w:hAnsi="Times New Roman;Times;Serif"/>
          <w:b w:val="false"/>
          <w:i w:val="false"/>
          <w:caps w:val="false"/>
          <w:smallCaps w:val="false"/>
          <w:sz w:val="20"/>
        </w:rPr>
        <w:t>The following table illustrates information regarding the Company’s operating leases as of March 31, 2026 and 2025:</w:t>
      </w:r>
    </w:p>
    <w:p>
      <w:pPr>
        <w:pStyle w:val="TextBody"/>
        <w:bidi w:val="0"/>
        <w:spacing w:before="0" w:after="0"/>
        <w:ind w:left="0" w:right="0" w:hanging="0"/>
        <w:jc w:val="both"/>
        <w:rPr>
          <w:caps w:val="false"/>
          <w:smallCaps w:val="false"/>
        </w:rPr>
      </w:pPr>
      <w:r>
        <w:rPr>
          <w:caps w:val="false"/>
          <w:smallCaps w:val="false"/>
        </w:rPr>
        <w:t> </w:t>
      </w:r>
      <w:bookmarkStart w:id="409" w:name="xdx_8BE_zXml3lfDel6j"/>
      <w:bookmarkEnd w:id="409"/>
      <w:r>
        <w:rPr>
          <w:rFonts w:ascii="Times New Roman;Times;Serif" w:hAnsi="Times New Roman;Times;Serif"/>
          <w:b w:val="false"/>
          <w:i w:val="false"/>
          <w:caps w:val="false"/>
          <w:smallCaps w:val="false"/>
          <w:sz w:val="20"/>
        </w:rPr>
        <w:t>Schedule of Operating Leases</w:t>
      </w:r>
    </w:p>
    <w:tbl>
      <w:tblPr>
        <w:tblW w:w="9725" w:type="dxa"/>
        <w:jc w:val="left"/>
        <w:tblInd w:w="0" w:type="dxa"/>
        <w:tblLayout w:type="fixed"/>
        <w:tblCellMar>
          <w:top w:w="0" w:type="dxa"/>
          <w:left w:w="0" w:type="dxa"/>
          <w:bottom w:w="0" w:type="dxa"/>
          <w:right w:w="0" w:type="dxa"/>
        </w:tblCellMar>
      </w:tblPr>
      <w:tblGrid>
        <w:gridCol w:w="7760"/>
        <w:gridCol w:w="60"/>
        <w:gridCol w:w="140"/>
        <w:gridCol w:w="560"/>
        <w:gridCol w:w="215"/>
        <w:gridCol w:w="60"/>
        <w:gridCol w:w="140"/>
        <w:gridCol w:w="560"/>
        <w:gridCol w:w="230"/>
      </w:tblGrid>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230"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0" w:name="xdx_989_eus-gaap--OperatingLeaseCost_c20"/>
            <w:bookmarkEnd w:id="410"/>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1" w:name="xdx_986_eus-gaap--OperatingLeaseCost_c20"/>
            <w:bookmarkEnd w:id="411"/>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6,643</w:t>
            </w:r>
          </w:p>
        </w:tc>
        <w:tc>
          <w:tcPr>
            <w:tcW w:w="230"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the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2" w:name="xdx_98B_eus-gaap--OperatingLeasePayments"/>
            <w:bookmarkEnd w:id="412"/>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3" w:name="xdx_987_eus-gaap--OperatingLeasePayments"/>
            <w:bookmarkEnd w:id="413"/>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6,708</w:t>
            </w:r>
          </w:p>
        </w:tc>
        <w:tc>
          <w:tcPr>
            <w:tcW w:w="230"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414" w:name="xdx_90E_eus-gaap--OperatingLeaseWeighted"/>
            <w:bookmarkEnd w:id="414"/>
            <w:r>
              <w:rPr>
                <w:rFonts w:ascii="Times New Roman;Times;Serif" w:hAnsi="Times New Roman;Times;Serif"/>
              </w:rPr>
              <w:t>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415" w:name="xdx_900_eus-gaap--OperatingLeaseWeighted"/>
            <w:bookmarkEnd w:id="415"/>
            <w:r>
              <w:rPr>
                <w:rFonts w:ascii="Times New Roman;Times;Serif" w:hAnsi="Times New Roman;Times;Serif"/>
              </w:rPr>
              <w:t>3.0</w:t>
            </w:r>
          </w:p>
        </w:tc>
        <w:tc>
          <w:tcPr>
            <w:tcW w:w="230"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416" w:name="xdx_904_eus-gaap--OperatingLeaseWeighted"/>
            <w:bookmarkEnd w:id="416"/>
            <w:r>
              <w:rPr>
                <w:rFonts w:ascii="Times New Roman;Times;Serif" w:hAnsi="Times New Roman;Times;Serif"/>
              </w:rPr>
              <w:t>1.48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417" w:name="xdx_902_eus-gaap--OperatingLeaseWeighted"/>
            <w:bookmarkEnd w:id="417"/>
            <w:r>
              <w:rPr>
                <w:rFonts w:ascii="Times New Roman;Times;Serif" w:hAnsi="Times New Roman;Times;Serif"/>
              </w:rPr>
              <w:t>1.48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418" w:name="xdx_8A2_z2uyeAy700i9"/>
      <w:bookmarkEnd w:id="41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significant sublease income or variable lease costs for the fiscal years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419" w:name="xdx_80A_ecustom--OtherPayablesTextBlock_"/>
      <w:bookmarkEnd w:id="419"/>
      <w:r>
        <w:rPr>
          <w:rFonts w:ascii="Times New Roman;Times;Serif" w:hAnsi="Times New Roman;Times;Serif"/>
          <w:b/>
          <w:i w:val="false"/>
          <w:caps w:val="false"/>
          <w:smallCaps w:val="false"/>
          <w:sz w:val="20"/>
          <w:shd w:fill="FFFFFF" w:val="clear"/>
        </w:rPr>
        <w:t xml:space="preserve">8. </w:t>
      </w:r>
      <w:bookmarkStart w:id="420" w:name="xdx_829_zSn3CmXXYOb"/>
      <w:bookmarkEnd w:id="420"/>
      <w:r>
        <w:rPr>
          <w:rFonts w:ascii="Times New Roman;Times;Serif" w:hAnsi="Times New Roman;Times;Serif"/>
          <w:b/>
          <w:i w:val="false"/>
          <w:caps w:val="false"/>
          <w:smallCaps w:val="false"/>
          <w:sz w:val="20"/>
          <w:shd w:fill="FFFFFF" w:val="clear"/>
        </w:rPr>
        <w:t>Other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21" w:name="xdx_895_ecustom--ScheduleOfOtherPayables"/>
      <w:bookmarkEnd w:id="421"/>
      <w:r>
        <w:rPr>
          <w:rFonts w:ascii="Times New Roman;Times;Serif" w:hAnsi="Times New Roman;Times;Serif"/>
          <w:b w:val="false"/>
          <w:i w:val="false"/>
          <w:caps w:val="false"/>
          <w:smallCaps w:val="false"/>
          <w:sz w:val="20"/>
        </w:rPr>
        <w:t>As of March 31, 2026 and 2025, other payables consisted of the following:</w:t>
      </w:r>
    </w:p>
    <w:p>
      <w:pPr>
        <w:pStyle w:val="TextBody"/>
        <w:bidi w:val="0"/>
        <w:spacing w:before="0" w:after="0"/>
        <w:ind w:left="0" w:right="0" w:hanging="0"/>
        <w:jc w:val="left"/>
        <w:rPr>
          <w:caps w:val="false"/>
          <w:smallCaps w:val="false"/>
        </w:rPr>
      </w:pPr>
      <w:r>
        <w:rPr>
          <w:caps w:val="false"/>
          <w:smallCaps w:val="false"/>
        </w:rPr>
        <w:t> </w:t>
      </w:r>
      <w:bookmarkStart w:id="422" w:name="xdx_8B8_zS2XKWe7csyl"/>
      <w:bookmarkEnd w:id="422"/>
      <w:r>
        <w:rPr>
          <w:rFonts w:ascii="Times New Roman;Times;Serif" w:hAnsi="Times New Roman;Times;Serif"/>
          <w:b w:val="false"/>
          <w:i w:val="false"/>
          <w:caps w:val="false"/>
          <w:smallCaps w:val="false"/>
          <w:sz w:val="20"/>
        </w:rPr>
        <w:t>Schedule of Other Payables</w:t>
      </w:r>
    </w:p>
    <w:tbl>
      <w:tblPr>
        <w:tblW w:w="4600" w:type="dxa"/>
        <w:jc w:val="left"/>
        <w:tblInd w:w="0" w:type="dxa"/>
        <w:tblLayout w:type="fixed"/>
        <w:tblCellMar>
          <w:top w:w="0" w:type="dxa"/>
          <w:left w:w="0" w:type="dxa"/>
          <w:bottom w:w="0" w:type="dxa"/>
          <w:right w:w="0" w:type="dxa"/>
        </w:tblCellMar>
      </w:tblPr>
      <w:tblGrid>
        <w:gridCol w:w="2585"/>
        <w:gridCol w:w="60"/>
        <w:gridCol w:w="140"/>
        <w:gridCol w:w="800"/>
        <w:gridCol w:w="60"/>
        <w:gridCol w:w="60"/>
        <w:gridCol w:w="140"/>
        <w:gridCol w:w="680"/>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3" w:name="xdx_49B_20260331_znBVbsftMyq7"/>
            <w:bookmarkEnd w:id="423"/>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4" w:name="xdx_491_20250331_zptfYkTjG8j7"/>
            <w:bookmarkEnd w:id="424"/>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425" w:name="xdx_40B_ecustom--OutsourcingFees_iI_maON"/>
            <w:bookmarkEnd w:id="425"/>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Outsourcing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w:t>
            </w:r>
          </w:p>
        </w:tc>
        <w:tc>
          <w:tcPr>
            <w:tcW w:w="75" w:type="dxa"/>
            <w:tcBorders/>
            <w:shd w:fill="CCEEFF" w:val="clear"/>
            <w:vAlign w:val="center"/>
          </w:tcPr>
          <w:p>
            <w:pPr>
              <w:pStyle w:val="TableContents"/>
              <w:bidi w:val="0"/>
              <w:spacing w:before="0" w:after="283"/>
              <w:jc w:val="left"/>
              <w:rPr/>
            </w:pPr>
            <w:r>
              <w:rPr/>
              <w:t> </w:t>
            </w:r>
            <w:bookmarkStart w:id="426" w:name="xdx_40F_ecustom--OtherProfessionalFees_i"/>
            <w:bookmarkEnd w:id="426"/>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9,912</w:t>
            </w:r>
          </w:p>
        </w:tc>
        <w:tc>
          <w:tcPr>
            <w:tcW w:w="75" w:type="dxa"/>
            <w:tcBorders/>
            <w:shd w:fill="FFFFFF" w:val="clear"/>
            <w:vAlign w:val="center"/>
          </w:tcPr>
          <w:p>
            <w:pPr>
              <w:pStyle w:val="TableContents"/>
              <w:bidi w:val="0"/>
              <w:spacing w:before="0" w:after="283"/>
              <w:jc w:val="left"/>
              <w:rPr/>
            </w:pPr>
            <w:r>
              <w:rPr/>
              <w:t> </w:t>
            </w:r>
            <w:bookmarkStart w:id="427" w:name="xdx_409_ecustom--OtherSalesAndMarketing_"/>
            <w:bookmarkEnd w:id="427"/>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4,596</w:t>
            </w:r>
          </w:p>
        </w:tc>
        <w:tc>
          <w:tcPr>
            <w:tcW w:w="75" w:type="dxa"/>
            <w:tcBorders/>
            <w:shd w:fill="CCEEFF" w:val="clear"/>
            <w:vAlign w:val="center"/>
          </w:tcPr>
          <w:p>
            <w:pPr>
              <w:pStyle w:val="TableContents"/>
              <w:bidi w:val="0"/>
              <w:spacing w:before="0" w:after="283"/>
              <w:jc w:val="left"/>
              <w:rPr/>
            </w:pPr>
            <w:r>
              <w:rPr/>
              <w:t> </w:t>
            </w:r>
            <w:bookmarkStart w:id="428" w:name="xdx_401_ecustom--OtherResearchAndDevelop"/>
            <w:bookmarkEnd w:id="428"/>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8,180</w:t>
            </w:r>
          </w:p>
        </w:tc>
        <w:tc>
          <w:tcPr>
            <w:tcW w:w="75" w:type="dxa"/>
            <w:tcBorders/>
            <w:shd w:fill="FFFFFF" w:val="clear"/>
            <w:vAlign w:val="center"/>
          </w:tcPr>
          <w:p>
            <w:pPr>
              <w:pStyle w:val="TableContents"/>
              <w:bidi w:val="0"/>
              <w:spacing w:before="0" w:after="283"/>
              <w:jc w:val="left"/>
              <w:rPr/>
            </w:pPr>
            <w:r>
              <w:rPr/>
              <w:t> </w:t>
            </w:r>
            <w:bookmarkStart w:id="429" w:name="xdx_40C_ecustom--OtherIncomeTaxWithholdi"/>
            <w:bookmarkEnd w:id="429"/>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withholding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3,110</w:t>
            </w:r>
          </w:p>
        </w:tc>
        <w:tc>
          <w:tcPr>
            <w:tcW w:w="75" w:type="dxa"/>
            <w:tcBorders/>
            <w:shd w:fill="CCEEFF" w:val="clear"/>
            <w:vAlign w:val="center"/>
          </w:tcPr>
          <w:p>
            <w:pPr>
              <w:pStyle w:val="TableContents"/>
              <w:bidi w:val="0"/>
              <w:spacing w:before="0" w:after="283"/>
              <w:jc w:val="left"/>
              <w:rPr/>
            </w:pPr>
            <w:r>
              <w:rPr/>
              <w:t> </w:t>
            </w:r>
            <w:bookmarkStart w:id="430" w:name="xdx_40B_ecustom--OtherCompensations_iI_m"/>
            <w:bookmarkEnd w:id="430"/>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w:t>
            </w:r>
          </w:p>
        </w:tc>
        <w:tc>
          <w:tcPr>
            <w:tcW w:w="75" w:type="dxa"/>
            <w:tcBorders/>
            <w:shd w:fill="FFFFFF" w:val="clear"/>
            <w:vAlign w:val="center"/>
          </w:tcPr>
          <w:p>
            <w:pPr>
              <w:pStyle w:val="TableContents"/>
              <w:bidi w:val="0"/>
              <w:spacing w:before="0" w:after="283"/>
              <w:jc w:val="left"/>
              <w:rPr/>
            </w:pPr>
            <w:r>
              <w:rPr/>
              <w:t> </w:t>
            </w:r>
            <w:bookmarkStart w:id="431" w:name="xdx_401_ecustom--OtherBusinessTaxPayable"/>
            <w:bookmarkEnd w:id="431"/>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3,919</w:t>
            </w:r>
          </w:p>
        </w:tc>
        <w:tc>
          <w:tcPr>
            <w:tcW w:w="75" w:type="dxa"/>
            <w:tcBorders/>
            <w:shd w:fill="CCEEFF" w:val="clear"/>
            <w:vAlign w:val="center"/>
          </w:tcPr>
          <w:p>
            <w:pPr>
              <w:pStyle w:val="TableContents"/>
              <w:bidi w:val="0"/>
              <w:spacing w:before="0" w:after="283"/>
              <w:jc w:val="left"/>
              <w:rPr/>
            </w:pPr>
            <w:r>
              <w:rPr/>
              <w:t> </w:t>
            </w:r>
            <w:bookmarkStart w:id="432" w:name="xdx_406_ecustom--OtherNotes_iI_maONPCzfw"/>
            <w:bookmarkEnd w:id="432"/>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10,779</w:t>
            </w:r>
          </w:p>
        </w:tc>
        <w:tc>
          <w:tcPr>
            <w:tcW w:w="75" w:type="dxa"/>
            <w:tcBorders/>
            <w:shd w:fill="FFFFFF" w:val="clear"/>
            <w:vAlign w:val="center"/>
          </w:tcPr>
          <w:p>
            <w:pPr>
              <w:pStyle w:val="TableContents"/>
              <w:bidi w:val="0"/>
              <w:spacing w:before="0" w:after="283"/>
              <w:jc w:val="left"/>
              <w:rPr/>
            </w:pPr>
            <w:r>
              <w:rPr/>
              <w:t> </w:t>
            </w:r>
            <w:bookmarkStart w:id="433" w:name="xdx_404_eus-gaap--OtherNotesPayable_iTI_"/>
            <w:bookmarkEnd w:id="433"/>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4" w:name="xdx_8A4_zw8YO5miToKc"/>
      <w:bookmarkEnd w:id="43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5" w:name="xdx_80A_eus-gaap--CommitmentsAndContinge"/>
      <w:bookmarkEnd w:id="435"/>
      <w:r>
        <w:rPr>
          <w:rFonts w:ascii="Times New Roman;Times;Serif" w:hAnsi="Times New Roman;Times;Serif"/>
          <w:b/>
          <w:i w:val="false"/>
          <w:caps w:val="false"/>
          <w:smallCaps w:val="false"/>
          <w:sz w:val="20"/>
        </w:rPr>
        <w:t xml:space="preserve">9. </w:t>
      </w:r>
      <w:bookmarkStart w:id="436" w:name="xdx_826_zsmi2b5azon8"/>
      <w:bookmarkEnd w:id="43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37" w:name="xdx_903_eus-gaap--OtherCommitment_iI_do_"/>
      <w:bookmarkStart w:id="438" w:name="xdx_90D_eus-gaap--OtherCommitment_iI_do_"/>
      <w:bookmarkEnd w:id="437"/>
      <w:bookmarkEnd w:id="438"/>
      <w:r>
        <w:rPr>
          <w:rFonts w:ascii="Times New Roman;Times;Serif" w:hAnsi="Times New Roman;Times;Serif"/>
          <w:b w:val="false"/>
          <w:i w:val="false"/>
          <w:caps w:val="false"/>
          <w:smallCaps w:val="false"/>
          <w:sz w:val="20"/>
        </w:rPr>
        <w:t>no commitments under certain purchase or guarantee arrangements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in the normal course of business, the Company may be subject to various legal matters such as threatened or pending claims or proceedings. There were </w:t>
      </w:r>
      <w:bookmarkStart w:id="439" w:name="xdx_903_eus-gaap--LegalFees_do_c20240401"/>
      <w:bookmarkStart w:id="440" w:name="xdx_907_eus-gaap--LegalFees_do_c20250401"/>
      <w:bookmarkEnd w:id="439"/>
      <w:bookmarkEnd w:id="440"/>
      <w:r>
        <w:rPr>
          <w:rFonts w:ascii="Times New Roman;Times;Serif" w:hAnsi="Times New Roman;Times;Serif"/>
          <w:b w:val="false"/>
          <w:i w:val="false"/>
          <w:caps w:val="false"/>
          <w:smallCaps w:val="false"/>
          <w:sz w:val="20"/>
        </w:rPr>
        <w:t>no such material matters as of and for the fiscal years ended March 31, 2026 and 2025 except for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2023, the Company was served with a complaint by ZESTO Consulting LLC demanding unpaid system development fees of JPY</w:t>
      </w:r>
      <w:bookmarkStart w:id="441" w:name="xdx_900_ecustom--UnpaidSystemDevelopment"/>
      <w:bookmarkEnd w:id="441"/>
      <w:r>
        <w:rPr>
          <w:rFonts w:ascii="Times New Roman;Times;Serif" w:hAnsi="Times New Roman;Times;Serif"/>
          <w:b w:val="false"/>
          <w:i w:val="false"/>
          <w:caps w:val="false"/>
          <w:smallCaps w:val="false"/>
          <w:sz w:val="20"/>
        </w:rPr>
        <w:t>21,770. In the fiscal year ended March 31, 2023, the Company recognized the total JPY</w:t>
      </w:r>
      <w:bookmarkStart w:id="442" w:name="xdx_909_eus-gaap--ResearchAndDevelopment"/>
      <w:bookmarkEnd w:id="442"/>
      <w:r>
        <w:rPr>
          <w:rFonts w:ascii="Times New Roman;Times;Serif" w:hAnsi="Times New Roman;Times;Serif"/>
          <w:b w:val="false"/>
          <w:i w:val="false"/>
          <w:caps w:val="false"/>
          <w:smallCaps w:val="false"/>
          <w:sz w:val="20"/>
        </w:rPr>
        <w:t>22,470 related to the lawsuit in research and development costs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2024, the Tokyo District Court ruled against the Company, holding the Company liable for unpaid service fees totaling JPY</w:t>
      </w:r>
      <w:bookmarkStart w:id="443" w:name="xdx_903_ecustom--UnpaidServiceFees_pn3n3"/>
      <w:bookmarkEnd w:id="443"/>
      <w:r>
        <w:rPr>
          <w:rFonts w:ascii="Times New Roman;Times;Serif" w:hAnsi="Times New Roman;Times;Serif"/>
          <w:b w:val="false"/>
          <w:i w:val="false"/>
          <w:caps w:val="false"/>
          <w:smallCaps w:val="false"/>
          <w:sz w:val="20"/>
        </w:rPr>
        <w:t xml:space="preserve">19,470, with interest accruing at a rate of </w:t>
      </w:r>
      <w:bookmarkStart w:id="444" w:name="xdx_90B_ecustom--PercentageOfAccruingInt"/>
      <w:bookmarkEnd w:id="444"/>
      <w:r>
        <w:rPr>
          <w:rFonts w:ascii="Times New Roman;Times;Serif" w:hAnsi="Times New Roman;Times;Serif"/>
          <w:b w:val="false"/>
          <w:i w:val="false"/>
          <w:caps w:val="false"/>
          <w:smallCaps w:val="false"/>
          <w:sz w:val="20"/>
        </w:rPr>
        <w:t>3% per annum. The Company subsequently filed an appeal against this decision.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appellate court issued a judgment requiring the Company to pay JPY</w:t>
      </w:r>
      <w:bookmarkStart w:id="445" w:name="xdx_90B_eus-gaap--LossContingencyDamages"/>
      <w:bookmarkEnd w:id="445"/>
      <w:r>
        <w:rPr>
          <w:rFonts w:ascii="Times New Roman;Times;Serif" w:hAnsi="Times New Roman;Times;Serif"/>
          <w:b w:val="false"/>
          <w:i w:val="false"/>
          <w:caps w:val="false"/>
          <w:smallCaps w:val="false"/>
          <w:sz w:val="20"/>
        </w:rPr>
        <w:t xml:space="preserve">20,394, including additional amounts not awarded in the initial judgment, plus interest. Interest is calculated at rates of </w:t>
      </w:r>
      <w:bookmarkStart w:id="446" w:name="xdx_909_ecustom--PercentageOfAccruingInt"/>
      <w:bookmarkEnd w:id="446"/>
      <w:r>
        <w:rPr>
          <w:rFonts w:ascii="Times New Roman;Times;Serif" w:hAnsi="Times New Roman;Times;Serif"/>
          <w:b w:val="false"/>
          <w:i w:val="false"/>
          <w:caps w:val="false"/>
          <w:smallCaps w:val="false"/>
          <w:sz w:val="20"/>
        </w:rPr>
        <w:t xml:space="preserve">3% and </w:t>
      </w:r>
      <w:bookmarkStart w:id="447" w:name="xdx_901_ecustom--PercentageOfAccruingInt"/>
      <w:bookmarkEnd w:id="447"/>
      <w:r>
        <w:rPr>
          <w:rFonts w:ascii="Times New Roman;Times;Serif" w:hAnsi="Times New Roman;Times;Serif"/>
          <w:b w:val="false"/>
          <w:i w:val="false"/>
          <w:caps w:val="false"/>
          <w:smallCaps w:val="false"/>
          <w:sz w:val="20"/>
        </w:rPr>
        <w:t>14.6% per annum on specified portions of the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an appeal of the appellate court judgment to the Supreme Court of Japan in January 2026. While the Company intends to continue with its appeal process, based on the currently available information, management has concluded that the potential loss associated with this matter is reasonably estimable. Accordingly, the Company has recognized the estimated obligation in its financial statements should the appeal fail. For the fiscal year ended March 31, 2026, the Company recognized an additional loss of JPY</w:t>
      </w:r>
      <w:bookmarkStart w:id="448" w:name="xdx_906_eus-gaap--LitigationSettlementLo"/>
      <w:bookmarkEnd w:id="448"/>
      <w:r>
        <w:rPr>
          <w:rFonts w:ascii="Times New Roman;Times;Serif" w:hAnsi="Times New Roman;Times;Serif"/>
          <w:b w:val="false"/>
          <w:i w:val="false"/>
          <w:caps w:val="false"/>
          <w:smallCaps w:val="false"/>
          <w:sz w:val="20"/>
        </w:rPr>
        <w:t>924 and interest expense of JPY</w:t>
      </w:r>
      <w:bookmarkStart w:id="449" w:name="xdx_908_eus-gaap--LitigationSettlementIn"/>
      <w:bookmarkEnd w:id="449"/>
      <w:r>
        <w:rPr>
          <w:rFonts w:ascii="Times New Roman;Times;Serif" w:hAnsi="Times New Roman;Times;Serif"/>
          <w:b w:val="false"/>
          <w:i w:val="false"/>
          <w:caps w:val="false"/>
          <w:smallCaps w:val="false"/>
          <w:sz w:val="20"/>
        </w:rPr>
        <w:t>8,399 related to this matter. The total amount accrued related to this matter as of March 31, 2026 was JPY</w:t>
      </w:r>
      <w:bookmarkStart w:id="450" w:name="xdx_906_eus-gaap--LossContingencyAccrual"/>
      <w:bookmarkEnd w:id="450"/>
      <w:r>
        <w:rPr>
          <w:rFonts w:ascii="Times New Roman;Times;Serif" w:hAnsi="Times New Roman;Times;Serif"/>
          <w:b w:val="false"/>
          <w:i w:val="false"/>
          <w:caps w:val="false"/>
          <w:smallCaps w:val="false"/>
          <w:sz w:val="20"/>
        </w:rPr>
        <w:t>5,284 and is included in accrued expense in the Balance Sheet.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Following the appellate court judgment, and while the Company’s appeal remains ongoing, the court released the earmarked funds, and JPY</w:t>
      </w:r>
      <w:bookmarkStart w:id="451" w:name="xdx_906_eus-gaap--LitigationSettlementAm"/>
      <w:bookmarkEnd w:id="451"/>
      <w:r>
        <w:rPr>
          <w:rFonts w:ascii="Times New Roman;Times;Serif" w:hAnsi="Times New Roman;Times;Serif"/>
          <w:b w:val="false"/>
          <w:i w:val="false"/>
          <w:caps w:val="false"/>
          <w:smallCaps w:val="false"/>
          <w:sz w:val="20"/>
          <w:shd w:fill="FFFFFF" w:val="clear"/>
        </w:rPr>
        <w:t>19,470 was paid to ZESTO Consulting LLC in March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was served with a complaint by FOOT PRINT Co., Ltd. demanding unpaid service fees under an advertising services agreement of JPY</w:t>
      </w:r>
      <w:bookmarkStart w:id="452" w:name="xdx_90D_eus-gaap--LitigationSettlementEx"/>
      <w:bookmarkEnd w:id="452"/>
      <w:r>
        <w:rPr>
          <w:rFonts w:ascii="Times New Roman;Times;Serif" w:hAnsi="Times New Roman;Times;Serif"/>
          <w:b w:val="false"/>
          <w:i w:val="false"/>
          <w:caps w:val="false"/>
          <w:smallCaps w:val="false"/>
          <w:sz w:val="20"/>
        </w:rPr>
        <w:t>1,197. Subsequently, the Company entered into a court-mediated settlement agreement on February 3, 2026. Pursuant to the settlement agreement, the Company agreed to pay approximately JPY</w:t>
      </w:r>
      <w:bookmarkStart w:id="453" w:name="xdx_901_eus-gaap--LitigationSettlementEx"/>
      <w:bookmarkEnd w:id="453"/>
      <w:r>
        <w:rPr>
          <w:rFonts w:ascii="Times New Roman;Times;Serif" w:hAnsi="Times New Roman;Times;Serif"/>
          <w:b w:val="false"/>
          <w:i w:val="false"/>
          <w:caps w:val="false"/>
          <w:smallCaps w:val="false"/>
          <w:sz w:val="20"/>
        </w:rPr>
        <w:t>1,131 in full. Upon payment in February 2026, the parties agreed to withdraw all related claims and no further obligations remain between them. As of the date of this report, there is no outstanding balance related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trading in the Company’s common stock on The Nasdaq Stock Market was temporarily suspended by the SEC. The suspension was initiated due to concerns regarding potential manipulation of the Company’s securities through recommendations made to investors by unknown third parties via social media. The Company is actively working to address the matters that led to the suspension and to satisfy the requirements for resumption of trading. As of the date of this report, trading of the Company’s securities remains suspended, and there can be no assurance as to when or if trading will resume.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three plaintiffs filed a putative civil class action in the Supreme Court of the State of New York, New York County, against approximately 47 issuers, including the Company, as well as various underwriters and individuals. The plaintiffs allege violations of Sections 11 and 12 of the Securities Act of 1933 arising from purported material misstatements or omissions in registration statements and prospectuses issued in connection with the defendants’ initial public offerings. With respect to the Company, the plaintiffs allege that the Company failed to disclose that its ordinary shares were susceptible to alleged pump-and-dump schemes conducted by unknown third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named plaintiffs is alleged to be a current or former shareholder of the Company. The plaintiffs’ request for judicial intervention was returned by the court for correction, and no corrected filing has been made. As of the date of this report, there has been no further activity involving the Company, the Company has not been formally served with the summons and complaint, and there has been no formal investigation or regulatory inquiry involving the Company or its officers in connection with this matter. If the action proceeds, the Company believes that the claims asserted against it are legally defective and without merit and intends to vigorously defend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customarily includes standard indemnification provisions in its arrangements with third parties. As of the date of this prospectus, the Company has not paid any material claims or been required to defend any material actions related to its indemnification obligations. However, the Company may be subject to such claims and/or actions in the future as a result of these indemnification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4" w:name="xdx_803_eus-gaap--EarningsPerShareTextBl"/>
      <w:bookmarkEnd w:id="454"/>
      <w:r>
        <w:rPr>
          <w:rFonts w:ascii="Times New Roman;Times;Serif" w:hAnsi="Times New Roman;Times;Serif"/>
          <w:b/>
          <w:i w:val="false"/>
          <w:caps w:val="false"/>
          <w:smallCaps w:val="false"/>
          <w:sz w:val="20"/>
        </w:rPr>
        <w:t>10</w:t>
      </w:r>
      <w:r>
        <w:rPr>
          <w:rFonts w:ascii="Times New Roman;Times;Serif" w:hAnsi="Times New Roman;Times;Serif"/>
          <w:b/>
          <w:i/>
          <w:caps w:val="false"/>
          <w:smallCaps w:val="false"/>
          <w:sz w:val="20"/>
        </w:rPr>
        <w:t xml:space="preserve">. </w:t>
      </w:r>
      <w:bookmarkStart w:id="455" w:name="xdx_823_z9rWkPU0V982"/>
      <w:bookmarkEnd w:id="455"/>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56" w:name="xdx_898_eus-gaap--ScheduleOfEarningsPerS"/>
      <w:bookmarkEnd w:id="456"/>
      <w:r>
        <w:rPr>
          <w:rFonts w:ascii="Times New Roman;Times;Serif" w:hAnsi="Times New Roman;Times;Serif"/>
          <w:b w:val="false"/>
          <w:i w:val="false"/>
          <w:caps w:val="false"/>
          <w:smallCaps w:val="false"/>
          <w:sz w:val="20"/>
        </w:rPr>
        <w:t>The following table sets forth the computation of basic and diluted net loss per share:</w:t>
      </w:r>
    </w:p>
    <w:p>
      <w:pPr>
        <w:pStyle w:val="TextBody"/>
        <w:bidi w:val="0"/>
        <w:spacing w:before="0" w:after="0"/>
        <w:ind w:left="0" w:right="0" w:hanging="0"/>
        <w:jc w:val="left"/>
        <w:rPr>
          <w:caps w:val="false"/>
          <w:smallCaps w:val="false"/>
        </w:rPr>
      </w:pPr>
      <w:r>
        <w:rPr>
          <w:caps w:val="false"/>
          <w:smallCaps w:val="false"/>
        </w:rPr>
        <w:t> </w:t>
      </w:r>
      <w:bookmarkStart w:id="457" w:name="xdx_8B0_zH4e2xKGJAMb"/>
      <w:bookmarkEnd w:id="457"/>
      <w:r>
        <w:rPr>
          <w:rFonts w:ascii="Times New Roman;Times;Serif" w:hAnsi="Times New Roman;Times;Serif"/>
          <w:b w:val="false"/>
          <w:i w:val="false"/>
          <w:caps w:val="false"/>
          <w:smallCaps w:val="false"/>
          <w:sz w:val="20"/>
        </w:rPr>
        <w:t>Schedule of Basic and Diluted Net Loss Per Share</w:t>
      </w:r>
    </w:p>
    <w:tbl>
      <w:tblPr>
        <w:tblW w:w="8795" w:type="dxa"/>
        <w:jc w:val="left"/>
        <w:tblInd w:w="0" w:type="dxa"/>
        <w:tblLayout w:type="fixed"/>
        <w:tblCellMar>
          <w:top w:w="0" w:type="dxa"/>
          <w:left w:w="0" w:type="dxa"/>
          <w:bottom w:w="0" w:type="dxa"/>
          <w:right w:w="0" w:type="dxa"/>
        </w:tblCellMar>
      </w:tblPr>
      <w:tblGrid>
        <w:gridCol w:w="4595"/>
        <w:gridCol w:w="60"/>
        <w:gridCol w:w="140"/>
        <w:gridCol w:w="1100"/>
        <w:gridCol w:w="95"/>
        <w:gridCol w:w="60"/>
        <w:gridCol w:w="140"/>
        <w:gridCol w:w="1100"/>
        <w:gridCol w:w="95"/>
        <w:gridCol w:w="60"/>
        <w:gridCol w:w="140"/>
        <w:gridCol w:w="1100"/>
        <w:gridCol w:w="110"/>
      </w:tblGrid>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8" w:name="xdx_49C_20250401__20260331_ztYnKFLBreQi"/>
            <w:bookmarkEnd w:id="45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9" w:name="xdx_491_20240401__20250331_zuMN6XBdQkP5"/>
            <w:bookmarkEnd w:id="45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8_20230401__20240331_zZ7Lx1lKPFP7"/>
            <w:bookmarkEnd w:id="460"/>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Net Loss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1" w:name="xdx_40F_eus-gaap--NetIncomeLoss_zsP8eCqF"/>
            <w:bookmarkEnd w:id="461"/>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ordinary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62" w:name="xdx_909_eus-gaap--WeightedAverageNumberO"/>
            <w:bookmarkStart w:id="463" w:name="xdx_905_eus-gaap--WeightedAverageNumberO"/>
            <w:bookmarkEnd w:id="462"/>
            <w:bookmarkEnd w:id="463"/>
            <w:r>
              <w:rPr>
                <w:rFonts w:ascii="Times New Roman;Times;Serif" w:hAnsi="Times New Roman;Times;Serif"/>
              </w:rPr>
              <w:t>44,870,959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64" w:name="xdx_900_eus-gaap--WeightedAverageNumberO"/>
            <w:bookmarkStart w:id="465" w:name="xdx_90E_eus-gaap--WeightedAverageNumberO"/>
            <w:bookmarkEnd w:id="464"/>
            <w:bookmarkEnd w:id="465"/>
            <w:r>
              <w:rPr>
                <w:rFonts w:ascii="Times New Roman;Times;Serif" w:hAnsi="Times New Roman;Times;Serif"/>
              </w:rPr>
              <w:t>42,210,000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66" w:name="xdx_900_eus-gaap--WeightedAverageNumberO"/>
            <w:bookmarkStart w:id="467" w:name="xdx_903_eus-gaap--WeightedAverageNumberO"/>
            <w:bookmarkEnd w:id="466"/>
            <w:bookmarkEnd w:id="467"/>
            <w:r>
              <w:rPr>
                <w:rFonts w:ascii="Times New Roman;Times;Serif" w:hAnsi="Times New Roman;Times;Serif"/>
              </w:rPr>
              <w:t>41,127,797</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net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68" w:name="xdx_903_eus-gaap--EarningsPerShareDilute"/>
            <w:bookmarkStart w:id="469" w:name="xdx_904_eus-gaap--EarningsPerShareBasic_"/>
            <w:bookmarkEnd w:id="468"/>
            <w:bookmarkEnd w:id="469"/>
            <w:r>
              <w:rPr>
                <w:rFonts w:ascii="Times New Roman;Times;Serif" w:hAnsi="Times New Roman;Times;Serif"/>
              </w:rPr>
              <w:t>(33.2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70" w:name="xdx_901_eus-gaap--EarningsPerShareDilute"/>
            <w:bookmarkStart w:id="471" w:name="xdx_90E_eus-gaap--EarningsPerShareBasic_"/>
            <w:bookmarkEnd w:id="470"/>
            <w:bookmarkEnd w:id="471"/>
            <w:r>
              <w:rPr>
                <w:rFonts w:ascii="Times New Roman;Times;Serif" w:hAnsi="Times New Roman;Times;Serif"/>
              </w:rPr>
              <w:t>(12.7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72" w:name="xdx_905_eus-gaap--EarningsPerShareDilute"/>
            <w:bookmarkStart w:id="473" w:name="xdx_905_eus-gaap--EarningsPerShareBasic_"/>
            <w:bookmarkEnd w:id="472"/>
            <w:bookmarkEnd w:id="473"/>
            <w:r>
              <w:rPr>
                <w:rFonts w:ascii="Times New Roman;Times;Serif" w:hAnsi="Times New Roman;Times;Serif"/>
              </w:rPr>
              <w:t>(16.1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474" w:name="xdx_8A2_zlXEvXkdLJ0a"/>
      <w:bookmarkEnd w:id="47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5" w:name="xdx_807_eus-gaap--IncomeTaxDisclosureTex"/>
      <w:bookmarkEnd w:id="475"/>
      <w:r>
        <w:rPr>
          <w:rFonts w:ascii="Times New Roman;Times;Serif" w:hAnsi="Times New Roman;Times;Serif"/>
          <w:b/>
          <w:i w:val="false"/>
          <w:caps w:val="false"/>
          <w:smallCaps w:val="false"/>
          <w:sz w:val="20"/>
        </w:rPr>
        <w:t xml:space="preserve">11. </w:t>
      </w:r>
      <w:bookmarkStart w:id="476" w:name="xdx_82D_zqXksJfGNPZ"/>
      <w:bookmarkEnd w:id="476"/>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7" w:name="xdx_89A_eus-gaap--ScheduleOfComponentsOf"/>
      <w:bookmarkEnd w:id="477"/>
      <w:r>
        <w:rPr>
          <w:rFonts w:ascii="Times New Roman;Times;Serif" w:hAnsi="Times New Roman;Times;Serif"/>
          <w:b w:val="false"/>
          <w:i w:val="false"/>
          <w:caps w:val="false"/>
          <w:smallCaps w:val="false"/>
          <w:sz w:val="20"/>
        </w:rPr>
        <w:t>The components of loss before income taxes, by geography, consists of the following:</w:t>
      </w:r>
    </w:p>
    <w:p>
      <w:pPr>
        <w:pStyle w:val="TextBody"/>
        <w:bidi w:val="0"/>
        <w:spacing w:before="0" w:after="0"/>
        <w:ind w:left="0" w:right="0" w:hanging="0"/>
        <w:jc w:val="both"/>
        <w:rPr>
          <w:caps w:val="false"/>
          <w:smallCaps w:val="false"/>
        </w:rPr>
      </w:pPr>
      <w:r>
        <w:rPr>
          <w:caps w:val="false"/>
          <w:smallCaps w:val="false"/>
        </w:rPr>
        <w:t> </w:t>
      </w:r>
      <w:bookmarkStart w:id="478" w:name="xdx_8B9_znxSfzJA84Y2"/>
      <w:bookmarkEnd w:id="478"/>
      <w:r>
        <w:rPr>
          <w:rFonts w:ascii="Times New Roman;Times;Serif" w:hAnsi="Times New Roman;Times;Serif"/>
          <w:b w:val="false"/>
          <w:i w:val="false"/>
          <w:caps w:val="false"/>
          <w:smallCaps w:val="false"/>
          <w:sz w:val="20"/>
        </w:rPr>
        <w:t>Schedule of Components of Loss Before Income Taxes</w:t>
      </w:r>
    </w:p>
    <w:tbl>
      <w:tblPr>
        <w:tblW w:w="5615" w:type="dxa"/>
        <w:jc w:val="left"/>
        <w:tblInd w:w="0" w:type="dxa"/>
        <w:tblLayout w:type="fixed"/>
        <w:tblCellMar>
          <w:top w:w="0" w:type="dxa"/>
          <w:left w:w="0" w:type="dxa"/>
          <w:bottom w:w="0" w:type="dxa"/>
          <w:right w:w="0" w:type="dxa"/>
        </w:tblCellMar>
      </w:tblPr>
      <w:tblGrid>
        <w:gridCol w:w="1910"/>
        <w:gridCol w:w="60"/>
        <w:gridCol w:w="140"/>
        <w:gridCol w:w="1055"/>
        <w:gridCol w:w="95"/>
        <w:gridCol w:w="60"/>
        <w:gridCol w:w="140"/>
        <w:gridCol w:w="875"/>
        <w:gridCol w:w="95"/>
        <w:gridCol w:w="60"/>
        <w:gridCol w:w="140"/>
        <w:gridCol w:w="875"/>
        <w:gridCol w:w="110"/>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79" w:name="xdx_49D_20250401__20260331_zuK7JKU2HVUk"/>
            <w:bookmarkEnd w:id="479"/>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80" w:name="xdx_491_20240401__20250331_zDhG0cZRcICa"/>
            <w:bookmarkEnd w:id="480"/>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81" w:name="xdx_498_20230401__20240331_zsM8GuewWxzc"/>
            <w:bookmarkEnd w:id="481"/>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5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110"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center"/>
              <w:rPr/>
            </w:pPr>
            <w:r>
              <w:rPr/>
              <w:t> </w:t>
            </w:r>
            <w:bookmarkStart w:id="482" w:name="xdx_400_eus-gaap--IncomeTaxExpenseBenefi"/>
            <w:bookmarkEnd w:id="482"/>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3" w:name="xdx_409_eus-gaap--IncomeTaxExpenseBenefi"/>
            <w:bookmarkEnd w:id="483"/>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(1,489,414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(534,685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484" w:name="xdx_8AC_zh5mot3qHKK7"/>
      <w:bookmarkEnd w:id="48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years ended March 31, 2026, 2025 and 2024, the Company had </w:t>
      </w:r>
      <w:bookmarkStart w:id="485" w:name="xdx_902_eus-gaap--IncomeTaxExpenseBenefi"/>
      <w:bookmarkStart w:id="486" w:name="xdx_90C_eus-gaap--IncomeTaxExpenseBenefi"/>
      <w:bookmarkStart w:id="487" w:name="xdx_909_eus-gaap--IncomeTaxExpenseBenefi"/>
      <w:bookmarkEnd w:id="485"/>
      <w:bookmarkEnd w:id="486"/>
      <w:bookmarkEnd w:id="487"/>
      <w:r>
        <w:rPr>
          <w:rFonts w:ascii="Times New Roman;Times;Serif" w:hAnsi="Times New Roman;Times;Serif"/>
          <w:b w:val="false"/>
          <w:i w:val="false"/>
          <w:caps w:val="false"/>
          <w:smallCaps w:val="false"/>
          <w:sz w:val="20"/>
        </w:rPr>
        <w:t>no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national and local income taxes in Japan which, in the aggregate, indicate a statutory rate of approximately </w:t>
      </w:r>
      <w:bookmarkStart w:id="488" w:name="xdx_901_eus-gaap--EffectiveIncomeTaxRate"/>
      <w:bookmarkEnd w:id="488"/>
      <w:r>
        <w:rPr>
          <w:rFonts w:ascii="Times New Roman;Times;Serif" w:hAnsi="Times New Roman;Times;Serif"/>
          <w:b w:val="false"/>
          <w:i w:val="false"/>
          <w:caps w:val="false"/>
          <w:smallCaps w:val="false"/>
          <w:sz w:val="20"/>
        </w:rPr>
        <w:t xml:space="preserve">31.52% for the fiscal years ended March 31, 2026 and </w:t>
      </w:r>
      <w:bookmarkStart w:id="489" w:name="xdx_90E_eus-gaap--EffectiveIncomeTaxRate"/>
      <w:bookmarkStart w:id="490" w:name="xdx_90E_eus-gaap--EffectiveIncomeTaxRate"/>
      <w:bookmarkEnd w:id="489"/>
      <w:bookmarkEnd w:id="490"/>
      <w:r>
        <w:rPr>
          <w:rFonts w:ascii="Times New Roman;Times;Serif" w:hAnsi="Times New Roman;Times;Serif"/>
          <w:b w:val="false"/>
          <w:i w:val="false"/>
          <w:caps w:val="false"/>
          <w:smallCaps w:val="false"/>
          <w:sz w:val="20"/>
        </w:rPr>
        <w:t>30.62% for the fiscal years ended March 31, 2025 and 2024, respectively. The statutory tax rate in effect for the year in which the temporary differences are expected to reverse is used to calculate the tax effects of temporary differences that are expected to reverse in the future years.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1" w:name="xdx_89D_eus-gaap--ScheduleOfEffectiveInc"/>
      <w:bookmarkEnd w:id="491"/>
      <w:r>
        <w:rPr>
          <w:rFonts w:ascii="Times New Roman;Times;Serif" w:hAnsi="Times New Roman;Times;Serif"/>
          <w:b w:val="false"/>
          <w:i w:val="false"/>
          <w:caps w:val="false"/>
          <w:smallCaps w:val="false"/>
          <w:sz w:val="20"/>
        </w:rPr>
        <w:t>A reconciliation of income tax expense to the amount of income tax expense (benefit) at the statutory rate in Japan for the fiscal years ended March 31, 2026, 2025 and 2024 is as follows:</w:t>
      </w:r>
    </w:p>
    <w:p>
      <w:pPr>
        <w:pStyle w:val="TextBody"/>
        <w:bidi w:val="0"/>
        <w:spacing w:before="0" w:after="0"/>
        <w:ind w:left="0" w:right="0" w:hanging="0"/>
        <w:jc w:val="left"/>
        <w:rPr>
          <w:caps w:val="false"/>
          <w:smallCaps w:val="false"/>
        </w:rPr>
      </w:pPr>
      <w:r>
        <w:rPr>
          <w:caps w:val="false"/>
          <w:smallCaps w:val="false"/>
        </w:rPr>
        <w:t> </w:t>
      </w:r>
      <w:bookmarkStart w:id="492" w:name="xdx_8BA_zU4PyyHIMqD"/>
      <w:bookmarkEnd w:id="492"/>
      <w:r>
        <w:rPr>
          <w:rFonts w:ascii="Times New Roman;Times;Serif" w:hAnsi="Times New Roman;Times;Serif"/>
          <w:b w:val="false"/>
          <w:i w:val="false"/>
          <w:caps w:val="false"/>
          <w:smallCaps w:val="false"/>
          <w:sz w:val="20"/>
        </w:rPr>
        <w:t>Schedule of Reconciliation of Income Tax Expense</w:t>
      </w:r>
    </w:p>
    <w:tbl>
      <w:tblPr>
        <w:tblW w:w="7535" w:type="dxa"/>
        <w:jc w:val="left"/>
        <w:tblInd w:w="0" w:type="dxa"/>
        <w:tblLayout w:type="fixed"/>
        <w:tblCellMar>
          <w:top w:w="0" w:type="dxa"/>
          <w:left w:w="0" w:type="dxa"/>
          <w:bottom w:w="0" w:type="dxa"/>
          <w:right w:w="0" w:type="dxa"/>
        </w:tblCellMar>
      </w:tblPr>
      <w:tblGrid>
        <w:gridCol w:w="4130"/>
        <w:gridCol w:w="60"/>
        <w:gridCol w:w="140"/>
        <w:gridCol w:w="875"/>
        <w:gridCol w:w="95"/>
        <w:gridCol w:w="140"/>
        <w:gridCol w:w="875"/>
        <w:gridCol w:w="95"/>
        <w:gridCol w:w="140"/>
        <w:gridCol w:w="875"/>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94_20250401__20260331_z5IExm1E831f"/>
            <w:bookmarkEnd w:id="493"/>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bookmarkStart w:id="494" w:name="xdx_491_20240401__20250331_ztEDO4FVCQlg"/>
            <w:bookmarkEnd w:id="494"/>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bookmarkStart w:id="495" w:name="xdx_498_20230401__20240331_zLXHafoDYFm4"/>
            <w:bookmarkEnd w:id="495"/>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5"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496" w:name="xdx_405_eus-gaap--IncomeTaxReconciliatio"/>
            <w:bookmarkEnd w:id="496"/>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at the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(202,694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7" w:name="xdx_407_eus-gaap--IncomeTaxReconciliatio"/>
            <w:bookmarkEnd w:id="497"/>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(reduction) in taxes resulting from: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8" w:name="xdx_403_eus-gaap--IncomeTaxReconciliatio"/>
            <w:bookmarkEnd w:id="498"/>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186,057</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193,402</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175,731</w:t>
            </w:r>
          </w:p>
        </w:tc>
        <w:tc>
          <w:tcPr>
            <w:tcW w:w="110" w:type="dxa"/>
            <w:tcBorders/>
            <w:shd w:fill="CCEEFF" w:val="clear"/>
            <w:vAlign w:val="center"/>
          </w:tcPr>
          <w:p>
            <w:pPr>
              <w:pStyle w:val="TableContents"/>
              <w:bidi w:val="0"/>
              <w:spacing w:before="0" w:after="283"/>
              <w:jc w:val="left"/>
              <w:rPr/>
            </w:pPr>
            <w:r>
              <w:rPr/>
              <w:t> </w:t>
            </w:r>
            <w:bookmarkStart w:id="499" w:name="xdx_402_eus-gaap--IncomeTaxReconciliatio"/>
            <w:bookmarkEnd w:id="499"/>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(36,189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0" w:name="xdx_40C_ecustom--IncomeTaxReconciliation"/>
            <w:bookmarkEnd w:id="500"/>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Unrecognizable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13,083</w:t>
            </w:r>
          </w:p>
        </w:tc>
        <w:tc>
          <w:tcPr>
            <w:tcW w:w="110" w:type="dxa"/>
            <w:tcBorders/>
            <w:shd w:fill="CCEEFF" w:val="clear"/>
            <w:vAlign w:val="center"/>
          </w:tcPr>
          <w:p>
            <w:pPr>
              <w:pStyle w:val="TableContents"/>
              <w:bidi w:val="0"/>
              <w:spacing w:before="0" w:after="283"/>
              <w:jc w:val="left"/>
              <w:rPr/>
            </w:pPr>
            <w:r>
              <w:rPr/>
              <w:t> </w:t>
            </w:r>
            <w:bookmarkStart w:id="501" w:name="xdx_403_ecustom--IncomeTaxReconciliation"/>
            <w:bookmarkEnd w:id="501"/>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318,667</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6,937</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w:t>
            </w:r>
          </w:p>
        </w:tc>
        <w:tc>
          <w:tcPr>
            <w:tcW w:w="110" w:type="dxa"/>
            <w:tcBorders/>
            <w:shd w:fill="FFFFFF" w:val="clear"/>
            <w:vAlign w:val="center"/>
          </w:tcPr>
          <w:p>
            <w:pPr>
              <w:pStyle w:val="TableContents"/>
              <w:bidi w:val="0"/>
              <w:spacing w:before="0" w:after="283"/>
              <w:jc w:val="left"/>
              <w:rPr/>
            </w:pPr>
            <w:r>
              <w:rPr/>
              <w:t> </w:t>
            </w:r>
            <w:bookmarkStart w:id="502" w:name="xdx_405_ecustom--IncomeTaxReconciliation"/>
            <w:bookmarkEnd w:id="502"/>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Rate difference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17,892</w:t>
            </w:r>
          </w:p>
        </w:tc>
        <w:tc>
          <w:tcPr>
            <w:tcW w:w="110" w:type="dxa"/>
            <w:tcBorders/>
            <w:shd w:fill="CCEEFF" w:val="clear"/>
            <w:vAlign w:val="center"/>
          </w:tcPr>
          <w:p>
            <w:pPr>
              <w:pStyle w:val="TableContents"/>
              <w:bidi w:val="0"/>
              <w:spacing w:before="0" w:after="283"/>
              <w:jc w:val="left"/>
              <w:rPr/>
            </w:pPr>
            <w:r>
              <w:rPr/>
              <w:t> </w:t>
            </w:r>
            <w:bookmarkStart w:id="503" w:name="xdx_40B_ecustom--IncomeTaxReconciliation"/>
            <w:bookmarkEnd w:id="503"/>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Inhabitant and business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4" w:name="xdx_404_eus-gaap--IncomeTaxReconciliatio"/>
            <w:bookmarkEnd w:id="504"/>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w:t>
            </w:r>
          </w:p>
        </w:tc>
        <w:tc>
          <w:tcPr>
            <w:tcW w:w="95"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5" w:name="xdx_40E_eus-gaap--IncomeTaxExpenseBenefi"/>
            <w:bookmarkEnd w:id="505"/>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06" w:name="xdx_8A7_zlOZ3IfnzAk6"/>
      <w:bookmarkEnd w:id="50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7" w:name="xdx_891_eus-gaap--ScheduleOfDeferredTaxA"/>
      <w:bookmarkEnd w:id="507"/>
      <w:r>
        <w:rPr>
          <w:rFonts w:ascii="Times New Roman;Times;Serif" w:hAnsi="Times New Roman;Times;Serif"/>
          <w:b w:val="false"/>
          <w:i w:val="false"/>
          <w:caps w:val="false"/>
          <w:smallCaps w:val="false"/>
          <w:sz w:val="20"/>
        </w:rPr>
        <w:t>Significant components of deferred tax assets and liabilities are as follows:</w:t>
      </w:r>
    </w:p>
    <w:p>
      <w:pPr>
        <w:pStyle w:val="TextBody"/>
        <w:bidi w:val="0"/>
        <w:spacing w:before="0" w:after="0"/>
        <w:ind w:left="0" w:right="0" w:hanging="0"/>
        <w:jc w:val="left"/>
        <w:rPr>
          <w:caps w:val="false"/>
          <w:smallCaps w:val="false"/>
        </w:rPr>
      </w:pPr>
      <w:r>
        <w:rPr>
          <w:caps w:val="false"/>
          <w:smallCaps w:val="false"/>
        </w:rPr>
        <w:t> </w:t>
      </w:r>
      <w:bookmarkStart w:id="508" w:name="xdx_8B3_z4Xt1BoINZgh"/>
      <w:bookmarkEnd w:id="508"/>
      <w:r>
        <w:rPr>
          <w:rFonts w:ascii="Times New Roman;Times;Serif" w:hAnsi="Times New Roman;Times;Serif"/>
          <w:b w:val="false"/>
          <w:i w:val="false"/>
          <w:caps w:val="false"/>
          <w:smallCaps w:val="false"/>
          <w:sz w:val="20"/>
        </w:rPr>
        <w:t>Schedule of Components of Deferred Tax Assets and Liabilities</w:t>
      </w:r>
    </w:p>
    <w:tbl>
      <w:tblPr>
        <w:tblW w:w="5570" w:type="dxa"/>
        <w:jc w:val="left"/>
        <w:tblInd w:w="0" w:type="dxa"/>
        <w:tblLayout w:type="fixed"/>
        <w:tblCellMar>
          <w:top w:w="0" w:type="dxa"/>
          <w:left w:w="0" w:type="dxa"/>
          <w:bottom w:w="0" w:type="dxa"/>
          <w:right w:w="0" w:type="dxa"/>
        </w:tblCellMar>
      </w:tblPr>
      <w:tblGrid>
        <w:gridCol w:w="3215"/>
        <w:gridCol w:w="60"/>
        <w:gridCol w:w="140"/>
        <w:gridCol w:w="875"/>
        <w:gridCol w:w="95"/>
        <w:gridCol w:w="60"/>
        <w:gridCol w:w="140"/>
        <w:gridCol w:w="875"/>
        <w:gridCol w:w="11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4_20260331_zHsPJUfcOO46"/>
            <w:bookmarkEnd w:id="509"/>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9_20250331_zuLRsCxEyRcd"/>
            <w:bookmarkEnd w:id="510"/>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11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10" w:type="dxa"/>
            <w:tcBorders/>
            <w:shd w:fill="CCEEFF" w:val="clear"/>
            <w:vAlign w:val="center"/>
          </w:tcPr>
          <w:p>
            <w:pPr>
              <w:pStyle w:val="TableContents"/>
              <w:bidi w:val="0"/>
              <w:spacing w:before="0" w:after="283"/>
              <w:jc w:val="left"/>
              <w:rPr/>
            </w:pPr>
            <w:r>
              <w:rPr/>
              <w:t> </w:t>
            </w:r>
            <w:bookmarkStart w:id="511" w:name="xdx_407_ecustom--DeferredTaxAssetsDeferr"/>
            <w:bookmarkEnd w:id="511"/>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245,701</w:t>
            </w:r>
          </w:p>
        </w:tc>
        <w:tc>
          <w:tcPr>
            <w:tcW w:w="110" w:type="dxa"/>
            <w:tcBorders/>
            <w:shd w:fill="FFFFFF" w:val="clear"/>
            <w:vAlign w:val="center"/>
          </w:tcPr>
          <w:p>
            <w:pPr>
              <w:pStyle w:val="TableContents"/>
              <w:bidi w:val="0"/>
              <w:spacing w:before="0" w:after="283"/>
              <w:jc w:val="left"/>
              <w:rPr/>
            </w:pPr>
            <w:r>
              <w:rPr/>
              <w:t> </w:t>
            </w:r>
            <w:bookmarkStart w:id="512" w:name="xdx_400_eus-gaap--DeferredTaxAssetsOpera"/>
            <w:bookmarkEnd w:id="512"/>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386,090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212,825</w:t>
            </w:r>
          </w:p>
        </w:tc>
        <w:tc>
          <w:tcPr>
            <w:tcW w:w="110" w:type="dxa"/>
            <w:tcBorders/>
            <w:shd w:fill="CCEEFF" w:val="clear"/>
            <w:vAlign w:val="center"/>
          </w:tcPr>
          <w:p>
            <w:pPr>
              <w:pStyle w:val="TableContents"/>
              <w:bidi w:val="0"/>
              <w:spacing w:before="0" w:after="283"/>
              <w:jc w:val="left"/>
              <w:rPr/>
            </w:pPr>
            <w:r>
              <w:rPr/>
              <w:t> </w:t>
            </w:r>
            <w:bookmarkStart w:id="513" w:name="xdx_40C_eus-gaap--DeferredTaxAssetsTaxDe"/>
            <w:bookmarkEnd w:id="513"/>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122,403</w:t>
            </w:r>
          </w:p>
        </w:tc>
        <w:tc>
          <w:tcPr>
            <w:tcW w:w="110" w:type="dxa"/>
            <w:tcBorders/>
            <w:shd w:fill="FFFFFF" w:val="clear"/>
            <w:vAlign w:val="center"/>
          </w:tcPr>
          <w:p>
            <w:pPr>
              <w:pStyle w:val="TableContents"/>
              <w:bidi w:val="0"/>
              <w:spacing w:before="0" w:after="283"/>
              <w:jc w:val="left"/>
              <w:rPr/>
            </w:pPr>
            <w:r>
              <w:rPr/>
              <w:t> </w:t>
            </w:r>
            <w:bookmarkStart w:id="514" w:name="xdx_40D_ecustom--DeferredTaxAssetsOperat"/>
            <w:bookmarkEnd w:id="514"/>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10" w:type="dxa"/>
            <w:tcBorders/>
            <w:shd w:fill="CCEEFF" w:val="clear"/>
            <w:vAlign w:val="center"/>
          </w:tcPr>
          <w:p>
            <w:pPr>
              <w:pStyle w:val="TableContents"/>
              <w:bidi w:val="0"/>
              <w:spacing w:before="0" w:after="283"/>
              <w:jc w:val="left"/>
              <w:rPr/>
            </w:pPr>
            <w:r>
              <w:rPr/>
              <w:t> </w:t>
            </w:r>
            <w:bookmarkStart w:id="515" w:name="xdx_406_eus-gaap--DeferredTaxAssetsOther"/>
            <w:bookmarkEnd w:id="515"/>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110" w:type="dxa"/>
            <w:tcBorders/>
            <w:shd w:fill="FFFFFF" w:val="clear"/>
            <w:vAlign w:val="center"/>
          </w:tcPr>
          <w:p>
            <w:pPr>
              <w:pStyle w:val="TableContents"/>
              <w:bidi w:val="0"/>
              <w:spacing w:before="0" w:after="283"/>
              <w:jc w:val="left"/>
              <w:rPr/>
            </w:pPr>
            <w:r>
              <w:rPr/>
              <w:t> </w:t>
            </w:r>
            <w:bookmarkStart w:id="516" w:name="xdx_408_eus-gaap--DeferredTaxAssetsGross"/>
            <w:bookmarkEnd w:id="516"/>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582,116</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7" w:name="xdx_40B_ecustom--DeferredTaxLiabilitiesD"/>
            <w:bookmarkEnd w:id="517"/>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9,725</w:t>
            </w:r>
          </w:p>
        </w:tc>
        <w:tc>
          <w:tcPr>
            <w:tcW w:w="110" w:type="dxa"/>
            <w:tcBorders/>
            <w:shd w:fill="CCEEFF" w:val="clear"/>
            <w:vAlign w:val="center"/>
          </w:tcPr>
          <w:p>
            <w:pPr>
              <w:pStyle w:val="TableContents"/>
              <w:bidi w:val="0"/>
              <w:spacing w:before="0" w:after="283"/>
              <w:jc w:val="left"/>
              <w:rPr/>
            </w:pPr>
            <w:r>
              <w:rPr/>
              <w:t> </w:t>
            </w:r>
            <w:bookmarkStart w:id="518" w:name="xdx_406_ecustom--DeferredTaxLiabilitiesO"/>
            <w:bookmarkEnd w:id="518"/>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ROU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pPr>
            <w:r>
              <w:rPr/>
              <w:t> </w:t>
            </w:r>
            <w:bookmarkStart w:id="519" w:name="xdx_40A_eus-gaap--DeferredIncomeTaxLiabi"/>
            <w:bookmarkEnd w:id="519"/>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10,005</w:t>
            </w:r>
          </w:p>
        </w:tc>
        <w:tc>
          <w:tcPr>
            <w:tcW w:w="110" w:type="dxa"/>
            <w:tcBorders/>
            <w:shd w:fill="CCEEFF" w:val="clear"/>
            <w:vAlign w:val="center"/>
          </w:tcPr>
          <w:p>
            <w:pPr>
              <w:pStyle w:val="TableContents"/>
              <w:bidi w:val="0"/>
              <w:spacing w:before="0" w:after="283"/>
              <w:jc w:val="left"/>
              <w:rPr/>
            </w:pPr>
            <w:r>
              <w:rPr/>
              <w:t> </w:t>
            </w:r>
            <w:bookmarkStart w:id="520" w:name="xdx_406_ecustom--DeferredTaxLiabilitesVa"/>
            <w:bookmarkEnd w:id="520"/>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(572,111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1" w:name="xdx_400_eus-gaap--DeferredTaxAssetsLiabi"/>
            <w:bookmarkEnd w:id="521"/>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2" w:name="xdx_8A9_zARzueHCM4z"/>
      <w:bookmarkEnd w:id="5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net operating loss carryforwards of JPY</w:t>
      </w:r>
      <w:bookmarkStart w:id="523" w:name="xdx_905_eus-gaap--OperatingLossCarryforw"/>
      <w:bookmarkEnd w:id="523"/>
      <w:r>
        <w:rPr>
          <w:rFonts w:ascii="Times New Roman;Times;Serif" w:hAnsi="Times New Roman;Times;Serif"/>
          <w:b w:val="false"/>
          <w:i w:val="false"/>
          <w:caps w:val="false"/>
          <w:smallCaps w:val="false"/>
          <w:sz w:val="20"/>
        </w:rPr>
        <w:t>1,224,905 and JPY</w:t>
      </w:r>
      <w:bookmarkStart w:id="524" w:name="xdx_90D_eus-gaap--OperatingLossCarryforw"/>
      <w:bookmarkEnd w:id="524"/>
      <w:r>
        <w:rPr>
          <w:rFonts w:ascii="Times New Roman;Times;Serif" w:hAnsi="Times New Roman;Times;Serif"/>
          <w:b w:val="false"/>
          <w:i w:val="false"/>
          <w:caps w:val="false"/>
          <w:smallCaps w:val="false"/>
          <w:sz w:val="20"/>
        </w:rPr>
        <w:t xml:space="preserve">675,207 as of March 31, 2026 and 2025, respectively, which </w:t>
      </w:r>
      <w:bookmarkStart w:id="525" w:name="xdx_900_eus-gaap--OperatingLossCarryforw"/>
      <w:bookmarkStart w:id="526" w:name="xdx_907_eus-gaap--OperatingLossCarryforw"/>
      <w:bookmarkEnd w:id="525"/>
      <w:bookmarkEnd w:id="526"/>
      <w:r>
        <w:rPr>
          <w:rFonts w:ascii="Times New Roman;Times;Serif" w:hAnsi="Times New Roman;Times;Serif"/>
          <w:b w:val="false"/>
          <w:i w:val="false"/>
          <w:caps w:val="false"/>
          <w:smallCaps w:val="false"/>
          <w:sz w:val="20"/>
        </w:rPr>
        <w:t>expire between 2033 to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positive and negative evidence bearing upon the realizability of its net deferred tax assets. Due to the Company’s history of net losses and the difficulty in predicting future results, the Company concluded it was not more likely than not that the deferred tax assets would be utilized. Accordingly, the Company has established a full valuation allowance against net deferred tax assets as of March 31, 2026 and 2025. Significant management judgment is required in determining the Company’s deferred tax assets and liabilities and valuation allowances for purposes of assessing its ability to realize any future benefit from its net deferred tax assets. The Company intends to maintain this valuation allowance until sufficient positive evidence exists to support the reversal of the valuation allowance. Income tax expense recorded in the future will be reduced to the extent that sufficient positive evidence materializes to support a reversal of, or decrease in, the Company’s valuation allowance.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27" w:name="xdx_89B_eus-gaap--SummaryOfValuationAllo"/>
      <w:bookmarkEnd w:id="527"/>
      <w:r>
        <w:rPr>
          <w:rFonts w:ascii="Times New Roman;Times;Serif" w:hAnsi="Times New Roman;Times;Serif"/>
          <w:b w:val="false"/>
          <w:i w:val="false"/>
          <w:caps w:val="false"/>
          <w:smallCaps w:val="false"/>
          <w:sz w:val="20"/>
        </w:rPr>
        <w:t>The net changes in the total valuation allowance for net deferred tax assets for the fiscal years ended March 31, 2026 and 2025 consist of the following:</w:t>
      </w:r>
    </w:p>
    <w:p>
      <w:pPr>
        <w:pStyle w:val="TextBody"/>
        <w:bidi w:val="0"/>
        <w:spacing w:before="0" w:after="0"/>
        <w:ind w:left="0" w:right="0" w:hanging="0"/>
        <w:jc w:val="left"/>
        <w:rPr>
          <w:caps w:val="false"/>
          <w:smallCaps w:val="false"/>
        </w:rPr>
      </w:pPr>
      <w:r>
        <w:rPr>
          <w:caps w:val="false"/>
          <w:smallCaps w:val="false"/>
        </w:rPr>
        <w:t> </w:t>
      </w:r>
      <w:bookmarkStart w:id="528" w:name="xdx_8B2_zEyenPNoaAGg"/>
      <w:bookmarkEnd w:id="528"/>
      <w:r>
        <w:rPr>
          <w:rFonts w:ascii="Times New Roman;Times;Serif" w:hAnsi="Times New Roman;Times;Serif"/>
          <w:b w:val="false"/>
          <w:i w:val="false"/>
          <w:caps w:val="false"/>
          <w:smallCaps w:val="false"/>
          <w:sz w:val="20"/>
        </w:rPr>
        <w:t>Schedule of Valuation Allowance for Net Deferred Tax Assets</w:t>
      </w:r>
    </w:p>
    <w:tbl>
      <w:tblPr>
        <w:tblW w:w="7178" w:type="dxa"/>
        <w:jc w:val="left"/>
        <w:tblInd w:w="0" w:type="dxa"/>
        <w:tblLayout w:type="fixed"/>
        <w:tblCellMar>
          <w:top w:w="0" w:type="dxa"/>
          <w:left w:w="0" w:type="dxa"/>
          <w:bottom w:w="0" w:type="dxa"/>
          <w:right w:w="0" w:type="dxa"/>
        </w:tblCellMar>
      </w:tblPr>
      <w:tblGrid>
        <w:gridCol w:w="3935"/>
        <w:gridCol w:w="60"/>
        <w:gridCol w:w="217"/>
        <w:gridCol w:w="1244"/>
        <w:gridCol w:w="93"/>
        <w:gridCol w:w="93"/>
        <w:gridCol w:w="217"/>
        <w:gridCol w:w="1244"/>
        <w:gridCol w:w="75"/>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9" w:name="xdx_493_20250401__20260331_zVYQJ9Br9Up1"/>
            <w:bookmarkEnd w:id="529"/>
          </w:p>
        </w:tc>
        <w:tc>
          <w:tcPr>
            <w:tcW w:w="14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530" w:name="xdx_490_20240401__20250331_zlnZiyIDN6Xj"/>
            <w:bookmarkEnd w:id="530"/>
          </w:p>
        </w:tc>
        <w:tc>
          <w:tcPr>
            <w:tcW w:w="14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531" w:name="xdx_401_eus-gaap--DeferredTaxAssetsValua"/>
            <w:bookmarkEnd w:id="531"/>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 at beginning of year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572,111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378,709</w:t>
            </w:r>
          </w:p>
        </w:tc>
        <w:tc>
          <w:tcPr>
            <w:tcW w:w="75" w:type="dxa"/>
            <w:tcBorders/>
            <w:shd w:fill="CCEEFF" w:val="clear"/>
            <w:vAlign w:val="center"/>
          </w:tcPr>
          <w:p>
            <w:pPr>
              <w:pStyle w:val="TableContents"/>
              <w:bidi w:val="0"/>
              <w:spacing w:before="0" w:after="283"/>
              <w:jc w:val="left"/>
              <w:rPr/>
            </w:pPr>
            <w:r>
              <w:rPr/>
              <w:t> </w:t>
            </w:r>
            <w:bookmarkStart w:id="532" w:name="xdx_403_eus-gaap--ValuationAllowanceDefe"/>
            <w:bookmarkEnd w:id="532"/>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(deductions)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186,057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193,402</w:t>
            </w:r>
          </w:p>
        </w:tc>
        <w:tc>
          <w:tcPr>
            <w:tcW w:w="75" w:type="dxa"/>
            <w:tcBorders/>
            <w:shd w:fill="FFFFFF" w:val="clear"/>
            <w:vAlign w:val="center"/>
          </w:tcPr>
          <w:p>
            <w:pPr>
              <w:pStyle w:val="TableContents"/>
              <w:bidi w:val="0"/>
              <w:spacing w:before="0" w:after="283"/>
              <w:jc w:val="left"/>
              <w:rPr/>
            </w:pPr>
            <w:r>
              <w:rPr/>
              <w:t> </w:t>
            </w:r>
            <w:bookmarkStart w:id="533" w:name="xdx_408_eus-gaap--DeferredTaxAssetsValua"/>
            <w:bookmarkEnd w:id="533"/>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 at end of year</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758,168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572,111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4" w:name="xdx_8A6_z746za7I9xXf"/>
      <w:bookmarkEnd w:id="53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years ended March 31, 2026, 2025 and 2024, the Company had </w:t>
      </w:r>
      <w:bookmarkStart w:id="535" w:name="xdx_904_eus-gaap--UnrecognizedTaxBenefit"/>
      <w:bookmarkStart w:id="536" w:name="xdx_903_eus-gaap--UnrecognizedTaxBenefit"/>
      <w:bookmarkStart w:id="537" w:name="xdx_90F_eus-gaap--UnrecognizedTaxBenefit"/>
      <w:bookmarkEnd w:id="535"/>
      <w:bookmarkEnd w:id="536"/>
      <w:bookmarkEnd w:id="537"/>
      <w:r>
        <w:rPr>
          <w:rFonts w:ascii="Times New Roman;Times;Serif" w:hAnsi="Times New Roman;Times;Serif"/>
          <w:b w:val="false"/>
          <w:i w:val="false"/>
          <w:caps w:val="false"/>
          <w:smallCaps w:val="false"/>
          <w:sz w:val="20"/>
        </w:rPr>
        <w:t>no uncertain tax positions anticipated to significantly increase or decrease within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penalties related to income tax matters are recognized as a component of selling, general and administrative expenses in the Statements of Operations, if applicable. The Company did not have any interest or penalties associated with any uncertain tax benefits that had been accrued or recognized as of and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national and local income tax returns within Japan. As of the reporting date, the Company is not currently, nor has it been, under income tax examination, but it may be subject to examination in the future. The tax authorities could perform tax examination on years as early as the tax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538" w:name="xdx_807_eus-gaap--StockholdersEquityNote"/>
      <w:bookmarkEnd w:id="538"/>
      <w:r>
        <w:rPr>
          <w:rFonts w:ascii="Times New Roman;Times;Serif" w:hAnsi="Times New Roman;Times;Serif"/>
          <w:b/>
          <w:i w:val="false"/>
          <w:caps w:val="false"/>
          <w:smallCaps w:val="false"/>
          <w:sz w:val="20"/>
          <w:shd w:fill="FFFFFF" w:val="clear"/>
        </w:rPr>
        <w:t xml:space="preserve">12. </w:t>
      </w:r>
      <w:bookmarkStart w:id="539" w:name="xdx_826_z4zWICCslZj8"/>
      <w:bookmarkEnd w:id="539"/>
      <w:r>
        <w:rPr>
          <w:rFonts w:ascii="Times New Roman;Times;Serif" w:hAnsi="Times New Roman;Times;Serif"/>
          <w:b/>
          <w:i w:val="false"/>
          <w:caps w:val="false"/>
          <w:smallCaps w:val="false"/>
          <w:sz w:val="20"/>
          <w:shd w:fill="FFFFFF" w:val="clear"/>
        </w:rPr>
        <w:t>Shareholders’ Equity/(Deficit)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of March 31, 2026, the Company had </w:t>
      </w:r>
      <w:bookmarkStart w:id="540" w:name="xdx_90F_eus-gaap--CommonStockSharesAutho"/>
      <w:bookmarkEnd w:id="540"/>
      <w:r>
        <w:rPr>
          <w:rFonts w:ascii="Times New Roman;Times;Serif" w:hAnsi="Times New Roman;Times;Serif"/>
          <w:b w:val="false"/>
          <w:i w:val="false"/>
          <w:caps w:val="false"/>
          <w:smallCaps w:val="false"/>
          <w:sz w:val="20"/>
          <w:shd w:fill="FFFFFF" w:val="clear"/>
        </w:rPr>
        <w:t xml:space="preserve">168,000,000 ordinary shares authorized. </w:t>
      </w:r>
      <w:bookmarkStart w:id="541" w:name="xdx_90B_eus-gaap--CommonStockVotingRight"/>
      <w:bookmarkEnd w:id="541"/>
      <w:r>
        <w:rPr>
          <w:rFonts w:ascii="Times New Roman;Times;Serif" w:hAnsi="Times New Roman;Times;Serif"/>
          <w:b w:val="false"/>
          <w:i w:val="false"/>
          <w:caps w:val="false"/>
          <w:smallCaps w:val="false"/>
          <w:sz w:val="20"/>
          <w:shd w:fill="FFFFFF" w:val="clear"/>
        </w:rPr>
        <w:t xml:space="preserve">Each holder of ordinary shares shall be entitled to one vote for each share held as of the record date and shall be entitled to receive dividends, when, as and if declared by the shareholders or the Board of Directors. The total ordinary shares issued and outstanding as of March 31, 2026 was </w:t>
      </w:r>
      <w:bookmarkStart w:id="542" w:name="xdx_90E_eus-gaap--CommonStockSharesOutst"/>
      <w:bookmarkStart w:id="543" w:name="xdx_903_eus-gaap--CommonStockSharesIssue"/>
      <w:bookmarkEnd w:id="542"/>
      <w:bookmarkEnd w:id="543"/>
      <w:r>
        <w:rPr>
          <w:rFonts w:ascii="Times New Roman;Times;Serif" w:hAnsi="Times New Roman;Times;Serif"/>
          <w:b w:val="false"/>
          <w:i w:val="false"/>
          <w:caps w:val="false"/>
          <w:smallCaps w:val="false"/>
          <w:sz w:val="20"/>
          <w:shd w:fill="FFFFFF" w:val="clear"/>
        </w:rPr>
        <w:t>45,960,000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Company’s board of directors approved the change in the number of ordinary shares authorized. As a result, the number of shares authorized became </w:t>
      </w:r>
      <w:bookmarkStart w:id="544" w:name="xdx_904_eus-gaap--CommonStockSharesAutho"/>
      <w:bookmarkEnd w:id="544"/>
      <w:r>
        <w:rPr>
          <w:rFonts w:ascii="Times New Roman;Times;Serif" w:hAnsi="Times New Roman;Times;Serif"/>
          <w:b w:val="false"/>
          <w:i w:val="false"/>
          <w:caps w:val="false"/>
          <w:smallCaps w:val="false"/>
          <w:sz w:val="20"/>
        </w:rPr>
        <w:t>168,000,000. On the same date, the Company’s board of directors approved a sub-division of the ordinary shares issued and outstanding at a ratio of 1:6, which became effective on January 7, 2025. The Company believes it is appropriate to reflect the above transactions on a retroactive basis in accordance with ASC 260. All references made to share or per share amounts herein have been retroactively adjusted to reflect the 1:6 sub-division.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18, 2025, the Company completed its IPO of </w:t>
      </w:r>
      <w:bookmarkStart w:id="545" w:name="xdx_909_eus-gaap--StockIssuedDuringPerio"/>
      <w:bookmarkEnd w:id="545"/>
      <w:r>
        <w:rPr>
          <w:rFonts w:ascii="Times New Roman;Times;Serif" w:hAnsi="Times New Roman;Times;Serif"/>
          <w:b w:val="false"/>
          <w:i w:val="false"/>
          <w:caps w:val="false"/>
          <w:smallCaps w:val="false"/>
          <w:sz w:val="20"/>
        </w:rPr>
        <w:t>3,750,000 ordinary shares at a public offering price of $</w:t>
      </w:r>
      <w:bookmarkStart w:id="546" w:name="xdx_907_eus-gaap--SaleOfStockPricePerSha"/>
      <w:bookmarkEnd w:id="546"/>
      <w:r>
        <w:rPr>
          <w:rFonts w:ascii="Times New Roman;Times;Serif" w:hAnsi="Times New Roman;Times;Serif"/>
          <w:b w:val="false"/>
          <w:i w:val="false"/>
          <w:caps w:val="false"/>
          <w:smallCaps w:val="false"/>
          <w:sz w:val="20"/>
        </w:rPr>
        <w:t>4.00 per share. The net proceeds to the Company from the IPO, after deducting underwriting discounts and offering expenses payable by the Company, were approximately JPY</w:t>
      </w:r>
      <w:bookmarkStart w:id="547" w:name="xdx_902_eus-gaap--ProceedsFromIssuanceIn"/>
      <w:bookmarkEnd w:id="547"/>
      <w:r>
        <w:rPr>
          <w:rFonts w:ascii="Times New Roman;Times;Serif" w:hAnsi="Times New Roman;Times;Serif"/>
          <w:b w:val="false"/>
          <w:i w:val="false"/>
          <w:caps w:val="false"/>
          <w:smallCaps w:val="false"/>
          <w:sz w:val="20"/>
        </w:rPr>
        <w:t>1,507,873.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548" w:name="xdx_808_eus-gaap--RevenueFromContractWit"/>
      <w:bookmarkEnd w:id="548"/>
      <w:r>
        <w:rPr>
          <w:rFonts w:ascii="Times New Roman;Times;Serif" w:hAnsi="Times New Roman;Times;Serif"/>
          <w:b/>
          <w:i w:val="false"/>
          <w:caps w:val="false"/>
          <w:smallCaps w:val="false"/>
          <w:sz w:val="20"/>
          <w:shd w:fill="FFFFFF" w:val="clear"/>
        </w:rPr>
        <w:t xml:space="preserve">13. </w:t>
      </w:r>
      <w:bookmarkStart w:id="549" w:name="xdx_82C_zIoZNhdbZifg"/>
      <w:bookmarkEnd w:id="549"/>
      <w:r>
        <w:rPr>
          <w:rFonts w:ascii="Times New Roman;Times;Serif" w:hAnsi="Times New Roman;Times;Serif"/>
          <w:b/>
          <w:i w:val="false"/>
          <w:caps w:val="false"/>
          <w:smallCaps w:val="false"/>
          <w:sz w:val="20"/>
          <w:shd w:fill="FFFFFF" w:val="clear"/>
        </w:rPr>
        <w:t>Revenue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Revenue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reflect revenue by major sources for the fiscal years ended March 31, 2026 and 2025. The Company had no revenue derived from geographical regions outside of Japan during the fiscal years ended March 31, 2026 and 2025.</w:t>
      </w:r>
    </w:p>
    <w:p>
      <w:pPr>
        <w:pStyle w:val="TextBody"/>
        <w:shd w:fill="FFFFFF" w:val="clear"/>
        <w:bidi w:val="0"/>
        <w:spacing w:before="0" w:after="0"/>
        <w:ind w:left="0" w:right="0" w:hanging="0"/>
        <w:jc w:val="both"/>
        <w:rPr>
          <w:caps w:val="false"/>
          <w:smallCaps w:val="false"/>
        </w:rPr>
      </w:pPr>
      <w:bookmarkStart w:id="550" w:name="xdx_891_eus-gaap--DisaggregationOfRevenu"/>
      <w:bookmarkEnd w:id="550"/>
      <w:r>
        <w:rPr>
          <w:caps w:val="false"/>
          <w:smallCaps w:val="false"/>
        </w:rPr>
        <w:t> </w:t>
      </w:r>
      <w:bookmarkStart w:id="551" w:name="xdx_8BC_zG73UIMf8cik"/>
      <w:bookmarkEnd w:id="551"/>
      <w:r>
        <w:rPr>
          <w:rFonts w:ascii="Times New Roman;Times;Serif" w:hAnsi="Times New Roman;Times;Serif"/>
          <w:b w:val="false"/>
          <w:i w:val="false"/>
          <w:caps w:val="false"/>
          <w:smallCaps w:val="false"/>
          <w:sz w:val="20"/>
        </w:rPr>
        <w:t>Schedule of Disaggregation of Revenue</w:t>
      </w:r>
    </w:p>
    <w:tbl>
      <w:tblPr>
        <w:tblW w:w="6380" w:type="dxa"/>
        <w:jc w:val="left"/>
        <w:tblInd w:w="0" w:type="dxa"/>
        <w:tblLayout w:type="fixed"/>
        <w:tblCellMar>
          <w:top w:w="0" w:type="dxa"/>
          <w:left w:w="0" w:type="dxa"/>
          <w:bottom w:w="0" w:type="dxa"/>
          <w:right w:w="0" w:type="dxa"/>
        </w:tblCellMar>
      </w:tblPr>
      <w:tblGrid>
        <w:gridCol w:w="3140"/>
        <w:gridCol w:w="60"/>
        <w:gridCol w:w="142"/>
        <w:gridCol w:w="813"/>
        <w:gridCol w:w="60"/>
        <w:gridCol w:w="60"/>
        <w:gridCol w:w="142"/>
        <w:gridCol w:w="813"/>
        <w:gridCol w:w="60"/>
        <w:gridCol w:w="60"/>
        <w:gridCol w:w="142"/>
        <w:gridCol w:w="813"/>
        <w:gridCol w:w="75"/>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2" w:name="xdx_49B_20250401__20260331_zlTCAQbEBDE5"/>
            <w:bookmarkEnd w:id="552"/>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3" w:name="xdx_49B_20240401__20250331_zM3aOAjf0G6a"/>
            <w:bookmarkEnd w:id="553"/>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4" w:name="xdx_499_20230401__20240331_zSQEBiNeKAg7"/>
            <w:bookmarkEnd w:id="554"/>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555" w:name="xdx_40C_eus-gaap--RevenueFromContractWit"/>
            <w:bookmarkEnd w:id="555"/>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Software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75,125</w:t>
            </w:r>
          </w:p>
        </w:tc>
        <w:tc>
          <w:tcPr>
            <w:tcW w:w="75" w:type="dxa"/>
            <w:tcBorders/>
            <w:shd w:fill="CCEEFF" w:val="clear"/>
            <w:vAlign w:val="center"/>
          </w:tcPr>
          <w:p>
            <w:pPr>
              <w:pStyle w:val="TableContents"/>
              <w:bidi w:val="0"/>
              <w:spacing w:before="0" w:after="283"/>
              <w:jc w:val="left"/>
              <w:rPr/>
            </w:pPr>
            <w:r>
              <w:rPr/>
              <w:t> </w:t>
            </w:r>
            <w:bookmarkStart w:id="556" w:name="xdx_40C_eus-gaap--RevenueFromContractWit"/>
            <w:bookmarkEnd w:id="556"/>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Consulting and Support Services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617,979</w:t>
            </w:r>
          </w:p>
        </w:tc>
        <w:tc>
          <w:tcPr>
            <w:tcW w:w="75" w:type="dxa"/>
            <w:tcBorders/>
            <w:shd w:fill="FFFFFF" w:val="clear"/>
            <w:vAlign w:val="center"/>
          </w:tcPr>
          <w:p>
            <w:pPr>
              <w:pStyle w:val="TableContents"/>
              <w:bidi w:val="0"/>
              <w:spacing w:before="0" w:after="283"/>
              <w:jc w:val="left"/>
              <w:rPr/>
            </w:pPr>
            <w:r>
              <w:rPr/>
              <w:t> </w:t>
            </w:r>
            <w:bookmarkStart w:id="557" w:name="xdx_40D_eus-gaap--RevenueFromContractWit"/>
            <w:bookmarkEnd w:id="557"/>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8" w:name="xdx_40C_eus-gaap--RevenueFromContractWit"/>
            <w:bookmarkEnd w:id="558"/>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693,104</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59" w:name="xdx_8A1_z2yowI104ju5"/>
      <w:bookmarkEnd w:id="5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March 31, 2026, revenue from consulting and support services was primarily generated from provision of e-learning, software installation support services and Digitalization &amp; AI Implementation Subsidy application consulting and support services. During the fiscal years ended March 31, 2025, revenue from consulting and support services was primarily generated from provision of e-learning and software installation support services. During the fiscal year ended March 31, 2024, revenue from consulting and support services was generated from the provision of e-learning, e-commerce store set-up services, and software installation support services.</w:t>
      </w:r>
    </w:p>
    <w:p>
      <w:pPr>
        <w:pStyle w:val="TextBody"/>
        <w:bidi w:val="0"/>
        <w:spacing w:before="0" w:after="0"/>
        <w:ind w:left="0" w:right="0" w:hanging="0"/>
        <w:jc w:val="both"/>
        <w:rPr>
          <w:caps w:val="false"/>
          <w:smallCaps w:val="false"/>
        </w:rPr>
      </w:pPr>
      <w:bookmarkStart w:id="560" w:name="xdx_C08_gL3DORTTB-JDZJP_zidM1dlG2tl9"/>
      <w:bookmarkEnd w:id="56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61" w:name="xdx_30C_134_zxvna6dDrTMa"/>
      <w:bookmarkStart w:id="562" w:name="xdx_30C_134_zxvna6dDrTMa"/>
      <w:bookmarkEnd w:id="562"/>
    </w:p>
    <w:tbl>
      <w:tblPr>
        <w:tblW w:w="7085" w:type="dxa"/>
        <w:jc w:val="left"/>
        <w:tblInd w:w="0" w:type="dxa"/>
        <w:tblLayout w:type="fixed"/>
        <w:tblCellMar>
          <w:top w:w="0" w:type="dxa"/>
          <w:left w:w="0" w:type="dxa"/>
          <w:bottom w:w="0" w:type="dxa"/>
          <w:right w:w="0" w:type="dxa"/>
        </w:tblCellMar>
      </w:tblPr>
      <w:tblGrid>
        <w:gridCol w:w="3845"/>
        <w:gridCol w:w="60"/>
        <w:gridCol w:w="142"/>
        <w:gridCol w:w="813"/>
        <w:gridCol w:w="60"/>
        <w:gridCol w:w="60"/>
        <w:gridCol w:w="142"/>
        <w:gridCol w:w="813"/>
        <w:gridCol w:w="60"/>
        <w:gridCol w:w="60"/>
        <w:gridCol w:w="142"/>
        <w:gridCol w:w="813"/>
        <w:gridCol w:w="75"/>
      </w:tblGrid>
      <w:tr>
        <w:trPr/>
        <w:tc>
          <w:tcPr>
            <w:tcW w:w="384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Timing of transfer of goods and services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563" w:name="xdx_497_20250401__20260331_zT21rbdsuQUe"/>
            <w:bookmarkEnd w:id="563"/>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564" w:name="xdx_496_20240401__20250331_zFhgcG7QN0lg"/>
            <w:bookmarkEnd w:id="564"/>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565" w:name="xdx_490_20230401__20240331_zao55HgDuTCg"/>
            <w:bookmarkEnd w:id="565"/>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Timing of transfer of goods and services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6" w:name="xdx_403_eus-gaap--RevenueFromContractWit"/>
            <w:bookmarkEnd w:id="566"/>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Point in time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336,031</w:t>
            </w:r>
          </w:p>
        </w:tc>
        <w:tc>
          <w:tcPr>
            <w:tcW w:w="75" w:type="dxa"/>
            <w:tcBorders/>
            <w:shd w:fill="FFFFFF" w:val="clear"/>
            <w:vAlign w:val="center"/>
          </w:tcPr>
          <w:p>
            <w:pPr>
              <w:pStyle w:val="TableContents"/>
              <w:bidi w:val="0"/>
              <w:spacing w:before="0" w:after="283"/>
              <w:jc w:val="left"/>
              <w:rPr/>
            </w:pPr>
            <w:r>
              <w:rPr/>
              <w:t> </w:t>
            </w:r>
            <w:bookmarkStart w:id="567" w:name="xdx_409_eus-gaap--RevenueFromContractWit"/>
            <w:bookmarkEnd w:id="567"/>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time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357,073</w:t>
            </w:r>
          </w:p>
        </w:tc>
        <w:tc>
          <w:tcPr>
            <w:tcW w:w="75" w:type="dxa"/>
            <w:tcBorders/>
            <w:shd w:fill="CCEEFF" w:val="clear"/>
            <w:vAlign w:val="center"/>
          </w:tcPr>
          <w:p>
            <w:pPr>
              <w:pStyle w:val="TableContents"/>
              <w:bidi w:val="0"/>
              <w:spacing w:before="0" w:after="283"/>
              <w:jc w:val="left"/>
              <w:rPr/>
            </w:pPr>
            <w:r>
              <w:rPr/>
              <w:t> </w:t>
            </w:r>
            <w:bookmarkStart w:id="568" w:name="xdx_401_eus-gaap--RevenueFromContractWit"/>
            <w:bookmarkEnd w:id="568"/>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69" w:name="xdx_C02_gL3DORTTB-JDZJP_zhNQEtyqWO42"/>
      <w:bookmarkEnd w:id="5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0" w:name="xdx_89C_eus-gaap--ContractWithCustomerAs"/>
      <w:bookmarkEnd w:id="570"/>
      <w:r>
        <w:rPr>
          <w:rFonts w:ascii="Times New Roman;Times;Serif" w:hAnsi="Times New Roman;Times;Serif"/>
          <w:b w:val="false"/>
          <w:i w:val="false"/>
          <w:caps w:val="false"/>
          <w:smallCaps w:val="false"/>
          <w:sz w:val="20"/>
        </w:rPr>
        <w:t>The following table summarizes the activity in deferred revenue during the fiscal years ended March 31, 2026 and 2025.</w:t>
      </w:r>
    </w:p>
    <w:p>
      <w:pPr>
        <w:pStyle w:val="TextBody"/>
        <w:bidi w:val="0"/>
        <w:spacing w:before="0" w:after="0"/>
        <w:ind w:left="0" w:right="0" w:hanging="0"/>
        <w:jc w:val="both"/>
        <w:rPr>
          <w:caps w:val="false"/>
          <w:smallCaps w:val="false"/>
        </w:rPr>
      </w:pPr>
      <w:r>
        <w:rPr>
          <w:caps w:val="false"/>
          <w:smallCaps w:val="false"/>
        </w:rPr>
        <w:t> </w:t>
      </w:r>
      <w:bookmarkStart w:id="571" w:name="xdx_8BA_zPHBTsCtBWNl"/>
      <w:bookmarkEnd w:id="571"/>
      <w:r>
        <w:rPr>
          <w:rFonts w:ascii="Times New Roman;Times;Serif" w:hAnsi="Times New Roman;Times;Serif"/>
          <w:b w:val="false"/>
          <w:i w:val="false"/>
          <w:caps w:val="false"/>
          <w:smallCaps w:val="false"/>
          <w:sz w:val="20"/>
        </w:rPr>
        <w:t>Schedule of Activity in Deferred Revenue</w:t>
      </w:r>
    </w:p>
    <w:tbl>
      <w:tblPr>
        <w:tblW w:w="10205" w:type="dxa"/>
        <w:jc w:val="left"/>
        <w:tblInd w:w="0" w:type="dxa"/>
        <w:tblLayout w:type="fixed"/>
        <w:tblCellMar>
          <w:top w:w="0" w:type="dxa"/>
          <w:left w:w="0" w:type="dxa"/>
          <w:bottom w:w="0" w:type="dxa"/>
          <w:right w:w="0" w:type="dxa"/>
        </w:tblCellMar>
      </w:tblPr>
      <w:tblGrid>
        <w:gridCol w:w="7237"/>
        <w:gridCol w:w="60"/>
        <w:gridCol w:w="181"/>
        <w:gridCol w:w="1274"/>
        <w:gridCol w:w="77"/>
        <w:gridCol w:w="77"/>
        <w:gridCol w:w="181"/>
        <w:gridCol w:w="1040"/>
        <w:gridCol w:w="78"/>
      </w:tblGrid>
      <w:tr>
        <w:trPr/>
        <w:tc>
          <w:tcPr>
            <w:tcW w:w="72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72" w:name="xdx_494_20250401__20260331_zmnWkfNZtWE7"/>
            <w:bookmarkEnd w:id="572"/>
          </w:p>
        </w:tc>
        <w:tc>
          <w:tcPr>
            <w:tcW w:w="1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573" w:name="xdx_493_20240401__20250331_zjrknWQWoelj"/>
            <w:bookmarkEnd w:id="573"/>
          </w:p>
        </w:tc>
        <w:tc>
          <w:tcPr>
            <w:tcW w:w="12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8" w:type="dxa"/>
            <w:tcBorders/>
            <w:vAlign w:val="center"/>
          </w:tcPr>
          <w:p>
            <w:pPr>
              <w:pStyle w:val="TableContents"/>
              <w:bidi w:val="0"/>
              <w:spacing w:before="0" w:after="283"/>
              <w:jc w:val="left"/>
              <w:rPr/>
            </w:pPr>
            <w:r>
              <w:rPr/>
              <w:t> </w:t>
            </w:r>
          </w:p>
        </w:tc>
      </w:tr>
      <w:tr>
        <w:trPr/>
        <w:tc>
          <w:tcPr>
            <w:tcW w:w="72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bookmarkStart w:id="574" w:name="xdx_406_eus-gaap--ContractWithCustomerLi"/>
            <w:bookmarkEnd w:id="574"/>
          </w:p>
        </w:tc>
      </w:tr>
      <w:tr>
        <w:trPr/>
        <w:tc>
          <w:tcPr>
            <w:tcW w:w="7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764,933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399,413</w:t>
            </w:r>
          </w:p>
        </w:tc>
        <w:tc>
          <w:tcPr>
            <w:tcW w:w="78" w:type="dxa"/>
            <w:tcBorders/>
            <w:shd w:fill="CCEEFF" w:val="clear"/>
            <w:vAlign w:val="center"/>
          </w:tcPr>
          <w:p>
            <w:pPr>
              <w:pStyle w:val="TableContents"/>
              <w:bidi w:val="0"/>
              <w:spacing w:before="0" w:after="283"/>
              <w:jc w:val="left"/>
              <w:rPr/>
            </w:pPr>
            <w:r>
              <w:rPr/>
              <w:t> </w:t>
            </w:r>
            <w:bookmarkStart w:id="575" w:name="xdx_406_eus-gaap--ContractWithCustomerLi"/>
            <w:bookmarkEnd w:id="575"/>
          </w:p>
        </w:tc>
      </w:tr>
      <w:tr>
        <w:trPr/>
        <w:tc>
          <w:tcPr>
            <w:tcW w:w="72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end of period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1,228,733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764,933</w:t>
            </w:r>
          </w:p>
        </w:tc>
        <w:tc>
          <w:tcPr>
            <w:tcW w:w="78"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576" w:name="xdx_409_eus-gaap--ContractWithCustomerLi"/>
            <w:bookmarkEnd w:id="576"/>
          </w:p>
        </w:tc>
      </w:tr>
      <w:tr>
        <w:trPr/>
        <w:tc>
          <w:tcPr>
            <w:tcW w:w="72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in the period from amounts included in deferred revenue at the beginning of period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372,940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93,870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7" w:name="xdx_8AD_zTSn0nAIYuy2"/>
      <w:bookmarkEnd w:id="5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deferred revenue represents the Company’s remaining performance obligations to provide software, e-learning and software installation support services for which consideration has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revenue of JPY</w:t>
      </w:r>
      <w:bookmarkStart w:id="578" w:name="xdx_903_eus-gaap--Revenues_pn3n3_c202504"/>
      <w:bookmarkEnd w:id="578"/>
      <w:r>
        <w:rPr>
          <w:rFonts w:ascii="Times New Roman;Times;Serif" w:hAnsi="Times New Roman;Times;Serif"/>
          <w:b w:val="false"/>
          <w:i w:val="false"/>
          <w:caps w:val="false"/>
          <w:smallCaps w:val="false"/>
          <w:sz w:val="20"/>
        </w:rPr>
        <w:t>1,228,733 and JPY</w:t>
      </w:r>
      <w:bookmarkStart w:id="579" w:name="xdx_905_eus-gaap--Revenues_pn3n3_c202404"/>
      <w:bookmarkEnd w:id="579"/>
      <w:r>
        <w:rPr>
          <w:rFonts w:ascii="Times New Roman;Times;Serif" w:hAnsi="Times New Roman;Times;Serif"/>
          <w:b w:val="false"/>
          <w:i w:val="false"/>
          <w:caps w:val="false"/>
          <w:smallCaps w:val="false"/>
          <w:sz w:val="20"/>
        </w:rPr>
        <w:t>764,933, respectively, is expected to be recognized from remaining performance obligations for customer contracts. As of March 31, 2026 and 2025, the Company expects to recognize revenue of JPY</w:t>
      </w:r>
      <w:bookmarkStart w:id="580" w:name="xdx_90D_eus-gaap--RevenueRemainingPerfor"/>
      <w:bookmarkEnd w:id="580"/>
      <w:r>
        <w:rPr>
          <w:rFonts w:ascii="Times New Roman;Times;Serif" w:hAnsi="Times New Roman;Times;Serif"/>
          <w:b w:val="false"/>
          <w:i w:val="false"/>
          <w:caps w:val="false"/>
          <w:smallCaps w:val="false"/>
          <w:sz w:val="20"/>
        </w:rPr>
        <w:t>523,536 and JPY</w:t>
      </w:r>
      <w:bookmarkStart w:id="581" w:name="xdx_900_eus-gaap--RevenueRemainingPerfor"/>
      <w:bookmarkEnd w:id="581"/>
      <w:r>
        <w:rPr>
          <w:rFonts w:ascii="Times New Roman;Times;Serif" w:hAnsi="Times New Roman;Times;Serif"/>
          <w:b w:val="false"/>
          <w:i w:val="false"/>
          <w:caps w:val="false"/>
          <w:smallCaps w:val="false"/>
          <w:sz w:val="20"/>
        </w:rPr>
        <w:t>351,937, respectively, from these remaining performance obligations over the next 12 months, with the remaining balances to be recognized thereafter.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2" w:name="xdx_80B_ecustom--CostOfRevenueDisclosure"/>
      <w:bookmarkEnd w:id="582"/>
      <w:r>
        <w:rPr>
          <w:rFonts w:ascii="Times New Roman;Times;Serif" w:hAnsi="Times New Roman;Times;Serif"/>
          <w:b/>
          <w:i w:val="false"/>
          <w:caps w:val="false"/>
          <w:smallCaps w:val="false"/>
          <w:sz w:val="20"/>
        </w:rPr>
        <w:t xml:space="preserve">14. </w:t>
      </w:r>
      <w:bookmarkStart w:id="583" w:name="xdx_822_ztzCRGxXKbul"/>
      <w:bookmarkEnd w:id="583"/>
      <w:r>
        <w:rPr>
          <w:rFonts w:ascii="Times New Roman;Times;Serif" w:hAnsi="Times New Roman;Times;Serif"/>
          <w:b/>
          <w:i w:val="false"/>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4" w:name="xdx_89C_ecustom--ScheduleOfCostOfRevenue"/>
      <w:bookmarkEnd w:id="584"/>
      <w:r>
        <w:rPr>
          <w:rFonts w:ascii="Times New Roman;Times;Serif" w:hAnsi="Times New Roman;Times;Serif"/>
          <w:b w:val="false"/>
          <w:i w:val="false"/>
          <w:caps w:val="false"/>
          <w:smallCaps w:val="false"/>
          <w:sz w:val="20"/>
        </w:rPr>
        <w:t>The table reflects cost of revenue by major source for the fiscal years ended March 31, 2026 and 2025:</w:t>
      </w:r>
    </w:p>
    <w:p>
      <w:pPr>
        <w:pStyle w:val="TextBody"/>
        <w:bidi w:val="0"/>
        <w:spacing w:before="0" w:after="0"/>
        <w:ind w:left="0" w:right="0" w:hanging="0"/>
        <w:jc w:val="both"/>
        <w:rPr>
          <w:caps w:val="false"/>
          <w:smallCaps w:val="false"/>
        </w:rPr>
      </w:pPr>
      <w:r>
        <w:rPr>
          <w:caps w:val="false"/>
          <w:smallCaps w:val="false"/>
        </w:rPr>
        <w:t> </w:t>
      </w:r>
      <w:bookmarkStart w:id="585" w:name="xdx_8B3_zhbAVcUljjJe"/>
      <w:bookmarkEnd w:id="585"/>
      <w:r>
        <w:rPr>
          <w:rFonts w:ascii="Times New Roman;Times;Serif" w:hAnsi="Times New Roman;Times;Serif"/>
          <w:b w:val="false"/>
          <w:i w:val="false"/>
          <w:caps w:val="false"/>
          <w:smallCaps w:val="false"/>
          <w:sz w:val="20"/>
        </w:rPr>
        <w:t>Schedule of Cost of Revenue by Major Source</w:t>
      </w:r>
    </w:p>
    <w:tbl>
      <w:tblPr>
        <w:tblW w:w="5161" w:type="dxa"/>
        <w:jc w:val="left"/>
        <w:tblInd w:w="0" w:type="dxa"/>
        <w:tblLayout w:type="fixed"/>
        <w:tblCellMar>
          <w:top w:w="0" w:type="dxa"/>
          <w:left w:w="0" w:type="dxa"/>
          <w:bottom w:w="0" w:type="dxa"/>
          <w:right w:w="0" w:type="dxa"/>
        </w:tblCellMar>
      </w:tblPr>
      <w:tblGrid>
        <w:gridCol w:w="1925"/>
        <w:gridCol w:w="60"/>
        <w:gridCol w:w="176"/>
        <w:gridCol w:w="707"/>
        <w:gridCol w:w="75"/>
        <w:gridCol w:w="75"/>
        <w:gridCol w:w="176"/>
        <w:gridCol w:w="707"/>
        <w:gridCol w:w="75"/>
        <w:gridCol w:w="75"/>
        <w:gridCol w:w="176"/>
        <w:gridCol w:w="859"/>
        <w:gridCol w:w="75"/>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86" w:name="xdx_497_20250401__20260331_zzmzH7g8WVuc"/>
            <w:bookmarkEnd w:id="586"/>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87" w:name="xdx_495_20240401__20250331_zA9DkxKnviXb"/>
            <w:bookmarkEnd w:id="587"/>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88" w:name="xdx_49E_20230401__20240331_zARNOibJDi4a"/>
            <w:bookmarkEnd w:id="588"/>
          </w:p>
        </w:tc>
        <w:tc>
          <w:tcPr>
            <w:tcW w:w="10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589" w:name="xdx_40B_eus-gaap--CostOfRevenue_pn3n3_hs"/>
            <w:bookmarkEnd w:id="589"/>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Software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w:t>
            </w:r>
          </w:p>
        </w:tc>
        <w:tc>
          <w:tcPr>
            <w:tcW w:w="75" w:type="dxa"/>
            <w:tcBorders/>
            <w:shd w:fill="CCEEFF" w:val="clear"/>
            <w:vAlign w:val="center"/>
          </w:tcPr>
          <w:p>
            <w:pPr>
              <w:pStyle w:val="TableContents"/>
              <w:bidi w:val="0"/>
              <w:spacing w:before="0" w:after="283"/>
              <w:jc w:val="left"/>
              <w:rPr/>
            </w:pPr>
            <w:r>
              <w:rPr/>
              <w:t> </w:t>
            </w:r>
            <w:bookmarkStart w:id="590" w:name="xdx_409_eus-gaap--CostOfRevenue_pn3n3_hs"/>
            <w:bookmarkEnd w:id="590"/>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Consulting Services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15,776</w:t>
            </w:r>
          </w:p>
        </w:tc>
        <w:tc>
          <w:tcPr>
            <w:tcW w:w="75" w:type="dxa"/>
            <w:tcBorders/>
            <w:shd w:fill="FFFFFF" w:val="clear"/>
            <w:vAlign w:val="center"/>
          </w:tcPr>
          <w:p>
            <w:pPr>
              <w:pStyle w:val="TableContents"/>
              <w:bidi w:val="0"/>
              <w:spacing w:before="0" w:after="283"/>
              <w:jc w:val="left"/>
              <w:rPr/>
            </w:pPr>
            <w:r>
              <w:rPr/>
              <w:t> </w:t>
            </w:r>
            <w:bookmarkStart w:id="591" w:name="xdx_40E_eus-gaap--CostOfRevenue_pn3n3_hs"/>
            <w:bookmarkEnd w:id="591"/>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92" w:name="xdx_40E_eus-gaap--CostOfRevenue_pn3n3_zk"/>
            <w:bookmarkEnd w:id="592"/>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93" w:name="xdx_8AB_zQVJ1kVn7JTc"/>
      <w:bookmarkEnd w:id="59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4" w:name="xdx_801_eus-gaap--DisclosureOfCompensati"/>
      <w:bookmarkEnd w:id="594"/>
      <w:r>
        <w:rPr>
          <w:rFonts w:ascii="Times New Roman;Times;Serif" w:hAnsi="Times New Roman;Times;Serif"/>
          <w:b/>
          <w:i w:val="false"/>
          <w:caps w:val="false"/>
          <w:smallCaps w:val="false"/>
          <w:sz w:val="20"/>
        </w:rPr>
        <w:t xml:space="preserve">15. </w:t>
      </w:r>
      <w:bookmarkStart w:id="595" w:name="xdx_823_zaGAmEKqQKGg"/>
      <w:bookmarkEnd w:id="595"/>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2024, the Company’s Board of Directors approved the issuance of stock options. On February 7, 2024, stock options to purchase an aggregate of </w:t>
      </w:r>
      <w:bookmarkStart w:id="596" w:name="xdx_907_eus-gaap--ShareBasedCompensation"/>
      <w:bookmarkEnd w:id="596"/>
      <w:r>
        <w:rPr>
          <w:rFonts w:ascii="Times New Roman;Times;Serif" w:hAnsi="Times New Roman;Times;Serif"/>
          <w:b w:val="false"/>
          <w:i w:val="false"/>
          <w:caps w:val="false"/>
          <w:smallCaps w:val="false"/>
          <w:sz w:val="20"/>
        </w:rPr>
        <w:t>2,268,000 ordinary shares at an exercise price of JPY</w:t>
      </w:r>
      <w:bookmarkStart w:id="597" w:name="xdx_908_eus-gaap--ShareBasedCompensation"/>
      <w:bookmarkEnd w:id="597"/>
      <w:r>
        <w:rPr>
          <w:rFonts w:ascii="Times New Roman;Times;Serif" w:hAnsi="Times New Roman;Times;Serif"/>
          <w:b w:val="false"/>
          <w:i w:val="false"/>
          <w:caps w:val="false"/>
          <w:smallCaps w:val="false"/>
          <w:sz w:val="20"/>
        </w:rPr>
        <w:t xml:space="preserve">200 per ordinary share were granted to certain individuals who were the Company’s directors, employees and consultants. The options vested upon the successful completion of IPO. The options are exercisable only after February 7, 2026 and have a contractual term of </w:t>
      </w:r>
      <w:bookmarkStart w:id="598" w:name="xdx_903_eus-gaap--SharebasedCompensation"/>
      <w:bookmarkEnd w:id="598"/>
      <w:r>
        <w:rPr>
          <w:rFonts w:ascii="Times New Roman;Times;Serif" w:hAnsi="Times New Roman;Times;Serif"/>
          <w:b w:val="false"/>
          <w:i w:val="false"/>
          <w:caps w:val="false"/>
          <w:smallCaps w:val="false"/>
          <w:sz w:val="20"/>
        </w:rPr>
        <w:t>eight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stock options as of the grant date was JPY</w:t>
      </w:r>
      <w:bookmarkStart w:id="599" w:name="xdx_904_eus-gaap--ShareBasedCompensation"/>
      <w:bookmarkEnd w:id="599"/>
      <w:r>
        <w:rPr>
          <w:rFonts w:ascii="Times New Roman;Times;Serif" w:hAnsi="Times New Roman;Times;Serif"/>
          <w:b w:val="false"/>
          <w:i w:val="false"/>
          <w:caps w:val="false"/>
          <w:smallCaps w:val="false"/>
          <w:sz w:val="20"/>
        </w:rPr>
        <w:t>72.2 and was estimated using the Black-Scholes option-pricing model. The following table summarizes the significant assumptions used to estimate the fair value of the stock options.</w:t>
      </w:r>
    </w:p>
    <w:p>
      <w:pPr>
        <w:pStyle w:val="TextBody"/>
        <w:bidi w:val="0"/>
        <w:spacing w:before="0" w:after="0"/>
        <w:ind w:left="0" w:right="0" w:hanging="0"/>
        <w:jc w:val="both"/>
        <w:rPr>
          <w:caps w:val="false"/>
          <w:smallCaps w:val="false"/>
        </w:rPr>
      </w:pPr>
      <w:bookmarkStart w:id="600" w:name="xdx_89F_eus-gaap--ScheduleOfShareBasedPa"/>
      <w:bookmarkEnd w:id="600"/>
      <w:r>
        <w:rPr>
          <w:caps w:val="false"/>
          <w:smallCaps w:val="false"/>
        </w:rPr>
        <w:t> </w:t>
      </w:r>
      <w:bookmarkStart w:id="601" w:name="xdx_8B0_z9sYu0S38lr"/>
      <w:bookmarkEnd w:id="601"/>
      <w:r>
        <w:rPr>
          <w:rFonts w:ascii="Times New Roman;Times;Serif" w:hAnsi="Times New Roman;Times;Serif"/>
          <w:b w:val="false"/>
          <w:i w:val="false"/>
          <w:caps w:val="false"/>
          <w:smallCaps w:val="false"/>
          <w:sz w:val="20"/>
        </w:rPr>
        <w:t>Schedule of Significant Assumptions Used to Estimate Fair Value of Stock Options</w:t>
      </w:r>
    </w:p>
    <w:tbl>
      <w:tblPr>
        <w:tblW w:w="3150" w:type="dxa"/>
        <w:jc w:val="left"/>
        <w:tblInd w:w="0" w:type="dxa"/>
        <w:tblLayout w:type="fixed"/>
        <w:tblCellMar>
          <w:top w:w="0" w:type="dxa"/>
          <w:left w:w="0" w:type="dxa"/>
          <w:bottom w:w="0" w:type="dxa"/>
          <w:right w:w="0" w:type="dxa"/>
        </w:tblCellMar>
      </w:tblPr>
      <w:tblGrid>
        <w:gridCol w:w="2210"/>
        <w:gridCol w:w="60"/>
        <w:gridCol w:w="60"/>
        <w:gridCol w:w="590"/>
        <w:gridCol w:w="230"/>
      </w:tblGrid>
      <w:tr>
        <w:trPr/>
        <w:tc>
          <w:tcPr>
            <w:tcW w:w="2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2" w:name="xdx_902_eus-gaap--SharebasedCompensation"/>
            <w:bookmarkEnd w:id="602"/>
            <w:r>
              <w:rPr>
                <w:rFonts w:ascii="Times New Roman;Times;Serif" w:hAnsi="Times New Roman;Times;Serif"/>
                <w:sz w:val="20"/>
              </w:rPr>
              <w:t>3 years</w:t>
            </w:r>
          </w:p>
        </w:tc>
        <w:tc>
          <w:tcPr>
            <w:tcW w:w="23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3" w:name="xdx_98F_eus-gaap--ShareBasedCompensation"/>
            <w:bookmarkEnd w:id="603"/>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4" w:name="xdx_98B_eus-gaap--ShareBasedCompensation"/>
            <w:bookmarkEnd w:id="604"/>
          </w:p>
        </w:tc>
        <w:tc>
          <w:tcPr>
            <w:tcW w:w="59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5" w:name="xdx_983_eus-gaap--ShareBasedCompensation"/>
            <w:bookmarkEnd w:id="605"/>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606" w:name="xdx_8AC_z8tQS1O8kBra"/>
      <w:bookmarkEnd w:id="6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its IPO in July 2025, the Company recognized share-based compensation expenses of JPY</w:t>
      </w:r>
      <w:bookmarkStart w:id="607" w:name="xdx_90F_eus-gaap--ShareBasedCompensation"/>
      <w:bookmarkEnd w:id="607"/>
      <w:r>
        <w:rPr>
          <w:rFonts w:ascii="Times New Roman;Times;Serif" w:hAnsi="Times New Roman;Times;Serif"/>
          <w:b w:val="false"/>
          <w:i w:val="false"/>
          <w:caps w:val="false"/>
          <w:smallCaps w:val="false"/>
          <w:sz w:val="20"/>
        </w:rPr>
        <w:t>16,368. Share-based compensation expenses are included in the selling, general and administrative expenses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8" w:name="xdx_894_eus-gaap--ScheduleOfShareBasedCo"/>
      <w:bookmarkEnd w:id="608"/>
      <w:r>
        <w:rPr>
          <w:rFonts w:ascii="Times New Roman;Times;Serif" w:hAnsi="Times New Roman;Times;Serif"/>
          <w:b w:val="false"/>
          <w:i w:val="false"/>
          <w:caps w:val="false"/>
          <w:smallCaps w:val="false"/>
          <w:sz w:val="20"/>
        </w:rPr>
        <w:t>The following table summarizes stock option activity under the Company’s stock option plan:</w:t>
      </w:r>
    </w:p>
    <w:p>
      <w:pPr>
        <w:pStyle w:val="TextBody"/>
        <w:bidi w:val="0"/>
        <w:spacing w:before="0" w:after="0"/>
        <w:ind w:left="0" w:right="0" w:hanging="0"/>
        <w:jc w:val="both"/>
        <w:rPr>
          <w:caps w:val="false"/>
          <w:smallCaps w:val="false"/>
        </w:rPr>
      </w:pPr>
      <w:r>
        <w:rPr>
          <w:caps w:val="false"/>
          <w:smallCaps w:val="false"/>
        </w:rPr>
        <w:t> </w:t>
      </w:r>
      <w:bookmarkStart w:id="609" w:name="xdx_8B9_zIoWDIHbb4I8"/>
      <w:bookmarkEnd w:id="609"/>
      <w:r>
        <w:rPr>
          <w:rFonts w:ascii="Times New Roman;Times;Serif" w:hAnsi="Times New Roman;Times;Serif"/>
          <w:b w:val="false"/>
          <w:i w:val="false"/>
          <w:caps w:val="false"/>
          <w:smallCaps w:val="false"/>
          <w:sz w:val="20"/>
        </w:rPr>
        <w:t>Schedule of Stock Option Activity Under the Plan</w:t>
      </w:r>
    </w:p>
    <w:tbl>
      <w:tblPr>
        <w:tblW w:w="7360" w:type="dxa"/>
        <w:jc w:val="left"/>
        <w:tblInd w:w="0" w:type="dxa"/>
        <w:tblLayout w:type="fixed"/>
        <w:tblCellMar>
          <w:top w:w="0" w:type="dxa"/>
          <w:left w:w="0" w:type="dxa"/>
          <w:bottom w:w="28" w:type="dxa"/>
          <w:right w:w="0" w:type="dxa"/>
        </w:tblCellMar>
      </w:tblPr>
      <w:tblGrid>
        <w:gridCol w:w="2495"/>
        <w:gridCol w:w="60"/>
        <w:gridCol w:w="60"/>
        <w:gridCol w:w="800"/>
        <w:gridCol w:w="60"/>
        <w:gridCol w:w="60"/>
        <w:gridCol w:w="287"/>
        <w:gridCol w:w="903"/>
        <w:gridCol w:w="60"/>
        <w:gridCol w:w="60"/>
        <w:gridCol w:w="214"/>
        <w:gridCol w:w="856"/>
        <w:gridCol w:w="60"/>
        <w:gridCol w:w="60"/>
        <w:gridCol w:w="87"/>
        <w:gridCol w:w="1163"/>
        <w:gridCol w:w="75"/>
      </w:tblGrid>
      <w:tr>
        <w:trPr/>
        <w:tc>
          <w:tcPr>
            <w:tcW w:w="249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Vested options</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Grant-Date</w:t>
            </w:r>
          </w:p>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per Option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Exercise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jc w:val="center"/>
              <w:rPr>
                <w:rFonts w:ascii="Times New Roman;Times;Serif" w:hAnsi="Times New Roman;Times;Serif"/>
                <w:b/>
              </w:rPr>
            </w:pPr>
            <w:r>
              <w:rPr>
                <w:rFonts w:ascii="Times New Roman;Times;Serif" w:hAnsi="Times New Roman;Times;Serif"/>
                <w:b/>
              </w:rPr>
              <w:t>Term</w:t>
            </w:r>
          </w:p>
          <w:p>
            <w:pPr>
              <w:pStyle w:val="TableContents"/>
              <w:bidi w:val="0"/>
              <w:spacing w:before="0" w:after="283"/>
              <w:jc w:val="center"/>
              <w:rPr>
                <w:rFonts w:ascii="Times New Roman;Times;Serif" w:hAnsi="Times New Roman;Times;Serif"/>
                <w:b/>
              </w:rPr>
            </w:pPr>
            <w:r>
              <w:rPr>
                <w:rFonts w:ascii="Times New Roman;Times;Serif" w:hAnsi="Times New Roman;Times;Serif"/>
                <w:b/>
              </w:rPr>
              <w:t>(Years)</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at April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10" w:name="xdx_984_eus-gaap--ShareBasedCompensation"/>
            <w:bookmarkEnd w:id="610"/>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1" w:name="xdx_986_ecustom--ShareBasedCompensationA"/>
            <w:bookmarkEnd w:id="611"/>
          </w:p>
        </w:tc>
        <w:tc>
          <w:tcPr>
            <w:tcW w:w="9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bookmarkStart w:id="612" w:name="xdx_982_eus-gaap--SharebasedCompensation"/>
            <w:bookmarkEnd w:id="612"/>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shd w:fill="FFFFFF" w:val="clear"/>
            <w:tcMar>
              <w:bottom w:w="0" w:type="dxa"/>
            </w:tcMar>
            <w:vAlign w:val="center"/>
          </w:tcPr>
          <w:p>
            <w:pPr>
              <w:pStyle w:val="TableContents"/>
              <w:bidi w:val="0"/>
              <w:spacing w:before="0" w:after="283"/>
              <w:jc w:val="left"/>
              <w:rPr/>
            </w:pPr>
            <w:r>
              <w:rPr/>
              <w:t> </w:t>
            </w:r>
            <w:bookmarkStart w:id="613" w:name="xdx_98C_eus-gaap--SharebasedCompensation"/>
            <w:bookmarkEnd w:id="613"/>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at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14" w:name="xdx_985_eus-gaap--ShareBasedCompensation"/>
            <w:bookmarkEnd w:id="614"/>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985_ecustom--ShareBasedCompensationA"/>
            <w:bookmarkEnd w:id="615"/>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6" w:name="xdx_98B_eus-gaap--ShareBasedCompensation"/>
            <w:bookmarkEnd w:id="616"/>
          </w:p>
        </w:tc>
        <w:tc>
          <w:tcPr>
            <w:tcW w:w="8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bookmarkStart w:id="617" w:name="xdx_90C_eus-gaap--SharebasedCompensation"/>
            <w:bookmarkEnd w:id="617"/>
            <w:r>
              <w:rPr>
                <w:rFonts w:ascii="Times New Roman;Times;Serif" w:hAnsi="Times New Roman;Times;Serif"/>
              </w:rPr>
              <w:t>8.4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8" w:name="xdx_8A0_zrHhmameGo7l"/>
      <w:bookmarkEnd w:id="61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9" w:name="xdx_89F_eus-gaap--ShareBasedCompensation"/>
      <w:bookmarkEnd w:id="619"/>
      <w:r>
        <w:rPr>
          <w:rFonts w:ascii="Times New Roman;Times;Serif" w:hAnsi="Times New Roman;Times;Serif"/>
          <w:b w:val="false"/>
          <w:i w:val="false"/>
          <w:caps w:val="false"/>
          <w:smallCaps w:val="false"/>
          <w:sz w:val="20"/>
        </w:rPr>
        <w:t>The following table summarizes activity for non-vested stock options under the Company’s stock option plan:</w:t>
      </w:r>
    </w:p>
    <w:p>
      <w:pPr>
        <w:pStyle w:val="TextBody"/>
        <w:bidi w:val="0"/>
        <w:spacing w:before="0" w:after="0"/>
        <w:ind w:left="0" w:right="0" w:hanging="0"/>
        <w:jc w:val="both"/>
        <w:rPr>
          <w:caps w:val="false"/>
          <w:smallCaps w:val="false"/>
        </w:rPr>
      </w:pPr>
      <w:r>
        <w:rPr>
          <w:caps w:val="false"/>
          <w:smallCaps w:val="false"/>
        </w:rPr>
        <w:t> </w:t>
      </w:r>
      <w:bookmarkStart w:id="620" w:name="xdx_8BB_ztWAXhSAFYM"/>
      <w:bookmarkEnd w:id="620"/>
      <w:r>
        <w:rPr>
          <w:rFonts w:ascii="Times New Roman;Times;Serif" w:hAnsi="Times New Roman;Times;Serif"/>
          <w:b w:val="false"/>
          <w:i w:val="false"/>
          <w:caps w:val="false"/>
          <w:smallCaps w:val="false"/>
          <w:sz w:val="20"/>
        </w:rPr>
        <w:t>Schedule of Activity for Non-Vested Stock Options</w:t>
      </w:r>
    </w:p>
    <w:tbl>
      <w:tblPr>
        <w:tblW w:w="5829" w:type="dxa"/>
        <w:jc w:val="left"/>
        <w:tblInd w:w="0" w:type="dxa"/>
        <w:tblLayout w:type="fixed"/>
        <w:tblCellMar>
          <w:top w:w="0" w:type="dxa"/>
          <w:left w:w="0" w:type="dxa"/>
          <w:bottom w:w="28" w:type="dxa"/>
          <w:right w:w="0" w:type="dxa"/>
        </w:tblCellMar>
      </w:tblPr>
      <w:tblGrid>
        <w:gridCol w:w="2930"/>
        <w:gridCol w:w="60"/>
        <w:gridCol w:w="72"/>
        <w:gridCol w:w="1057"/>
        <w:gridCol w:w="95"/>
        <w:gridCol w:w="60"/>
        <w:gridCol w:w="140"/>
        <w:gridCol w:w="1340"/>
        <w:gridCol w:w="75"/>
      </w:tblGrid>
      <w:tr>
        <w:trPr/>
        <w:tc>
          <w:tcPr>
            <w:tcW w:w="293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Non-vested options</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Number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Grant-Date</w:t>
            </w:r>
          </w:p>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per Option</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Non-vested at April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621" w:name="xdx_987_eus-gaap--SharebasedCompensation"/>
            <w:bookmarkEnd w:id="621"/>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2" w:name="xdx_985_eus-gaap--SharebasedCompensation"/>
            <w:bookmarkEnd w:id="622"/>
          </w:p>
        </w:tc>
        <w:tc>
          <w:tcPr>
            <w:tcW w:w="1340"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72.2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vAlign w:val="center"/>
          </w:tcPr>
          <w:p>
            <w:pPr>
              <w:pStyle w:val="TableContents"/>
              <w:bidi w:val="0"/>
              <w:spacing w:before="0" w:after="283"/>
              <w:jc w:val="left"/>
              <w:rPr/>
            </w:pPr>
            <w:r>
              <w:rPr/>
              <w:t> </w:t>
            </w:r>
            <w:bookmarkStart w:id="623" w:name="xdx_982_eus-gaap--SharebasedCompensation"/>
            <w:bookmarkEnd w:id="623"/>
          </w:p>
        </w:tc>
        <w:tc>
          <w:tcPr>
            <w:tcW w:w="105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24" w:name="xdx_984_eus-gaap--SharebasedCompensation"/>
            <w:bookmarkEnd w:id="624"/>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Non-vested at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bottom w:val="double" w:sz="6" w:space="0" w:color="000000"/>
            </w:tcBorders>
            <w:shd w:fill="CCEEFF" w:val="clear"/>
            <w:vAlign w:val="center"/>
          </w:tcPr>
          <w:p>
            <w:pPr>
              <w:pStyle w:val="TableContents"/>
              <w:bidi w:val="0"/>
              <w:spacing w:before="0" w:after="283"/>
              <w:jc w:val="left"/>
              <w:rPr/>
            </w:pPr>
            <w:r>
              <w:rPr/>
              <w:t> </w:t>
            </w:r>
            <w:bookmarkStart w:id="625" w:name="xdx_980_eus-gaap--SharebasedCompensation"/>
            <w:bookmarkEnd w:id="625"/>
          </w:p>
        </w:tc>
        <w:tc>
          <w:tcPr>
            <w:tcW w:w="1057"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6" w:name="xdx_8A2_zqG3p4K6COh2"/>
      <w:bookmarkEnd w:id="62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627" w:name="xdx_80B_ecustom--ConsultingAgreementText"/>
      <w:bookmarkEnd w:id="627"/>
      <w:r>
        <w:rPr>
          <w:rFonts w:ascii="Times New Roman;Times;Serif" w:hAnsi="Times New Roman;Times;Serif"/>
          <w:b/>
          <w:i w:val="false"/>
          <w:caps w:val="false"/>
          <w:smallCaps w:val="false"/>
          <w:sz w:val="20"/>
          <w:shd w:fill="FFFFFF" w:val="clear"/>
        </w:rPr>
        <w:t xml:space="preserve">16. </w:t>
      </w:r>
      <w:bookmarkStart w:id="628" w:name="xdx_829_zXQV7SlJLyLh"/>
      <w:bookmarkEnd w:id="628"/>
      <w:r>
        <w:rPr>
          <w:rFonts w:ascii="Times New Roman;Times;Serif" w:hAnsi="Times New Roman;Times;Serif"/>
          <w:b/>
          <w:i w:val="false"/>
          <w:caps w:val="false"/>
          <w:smallCaps w:val="false"/>
          <w:sz w:val="20"/>
          <w:shd w:fill="FFFFFF" w:val="clear"/>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April 24, 2023, the Company entered into a consulting and services agreement with Spirit Advisors, LLC. (“Spirit Advisors”) pursuant to which it agreed to compensate Spirit Advisors with cash consideration of US$</w:t>
      </w:r>
      <w:bookmarkStart w:id="629" w:name="xdx_903_eus-gaap--StockIssuedDuringPerio"/>
      <w:bookmarkEnd w:id="629"/>
      <w:r>
        <w:rPr>
          <w:rFonts w:ascii="Times New Roman;Times;Serif" w:hAnsi="Times New Roman;Times;Serif"/>
          <w:b w:val="false"/>
          <w:i w:val="false"/>
          <w:caps w:val="false"/>
          <w:smallCaps w:val="false"/>
          <w:sz w:val="20"/>
          <w:shd w:fill="FFFFFF" w:val="clear"/>
        </w:rPr>
        <w:t xml:space="preserve">320,000 and common share purchase warrants (the “Spirit Warrants”) in exchange for professional services to be provided by Spirit Advisors in connection with the IPO. Pursuant to the </w:t>
      </w:r>
      <w:r>
        <w:rPr>
          <w:rFonts w:ascii="Times New Roman;Times;Serif" w:hAnsi="Times New Roman;Times;Serif"/>
          <w:b w:val="false"/>
          <w:i w:val="false"/>
          <w:caps w:val="false"/>
          <w:smallCaps w:val="false"/>
          <w:sz w:val="20"/>
        </w:rPr>
        <w:t xml:space="preserve">Spirit Warrants, Spirit Advisors could purchase </w:t>
      </w:r>
      <w:bookmarkStart w:id="630" w:name="xdx_90E_ecustom--PercentageOfIssuedAndOu"/>
      <w:bookmarkEnd w:id="630"/>
      <w:r>
        <w:rPr>
          <w:rFonts w:ascii="Times New Roman;Times;Serif" w:hAnsi="Times New Roman;Times;Serif"/>
          <w:b w:val="false"/>
          <w:i w:val="false"/>
          <w:caps w:val="false"/>
          <w:smallCaps w:val="false"/>
          <w:sz w:val="20"/>
        </w:rPr>
        <w:t xml:space="preserve">3% of the issued and outstanding ordinary shares as of the date of the Spirit Warrants’ issuance, which amount was to be automatically adjusted to </w:t>
      </w:r>
      <w:bookmarkStart w:id="631" w:name="xdx_902_ecustom--PercentageOfDilutedNumb"/>
      <w:bookmarkEnd w:id="631"/>
      <w:r>
        <w:rPr>
          <w:rFonts w:ascii="Times New Roman;Times;Serif" w:hAnsi="Times New Roman;Times;Serif"/>
          <w:b w:val="false"/>
          <w:i w:val="false"/>
          <w:caps w:val="false"/>
          <w:smallCaps w:val="false"/>
          <w:sz w:val="20"/>
        </w:rPr>
        <w:t>3% of the fully diluted number of ordinary shares on the date the Company completed the IPO. The exercise price per share was US$</w:t>
      </w:r>
      <w:bookmarkStart w:id="632" w:name="xdx_908_eus-gaap--ClassOfWarrantOrRightE"/>
      <w:bookmarkEnd w:id="632"/>
      <w:r>
        <w:rPr>
          <w:rFonts w:ascii="Times New Roman;Times;Serif" w:hAnsi="Times New Roman;Times;Serif"/>
          <w:b w:val="false"/>
          <w:i w:val="false"/>
          <w:caps w:val="false"/>
          <w:smallCaps w:val="false"/>
          <w:sz w:val="20"/>
        </w:rPr>
        <w:t xml:space="preserve">0.01, subject to adjustment as provided in the </w:t>
      </w:r>
      <w:r>
        <w:rPr>
          <w:rFonts w:ascii="Times New Roman;Times;Serif" w:hAnsi="Times New Roman;Times;Serif"/>
          <w:b w:val="false"/>
          <w:i w:val="false"/>
          <w:caps w:val="false"/>
          <w:smallCaps w:val="false"/>
          <w:sz w:val="20"/>
          <w:shd w:fill="FFFFFF" w:val="clear"/>
        </w:rPr>
        <w:t xml:space="preserve">Spirit </w:t>
      </w:r>
      <w:r>
        <w:rPr>
          <w:rFonts w:ascii="Times New Roman;Times;Serif" w:hAnsi="Times New Roman;Times;Serif"/>
          <w:b w:val="false"/>
          <w:i w:val="false"/>
          <w:caps w:val="false"/>
          <w:smallCaps w:val="false"/>
          <w:sz w:val="20"/>
        </w:rPr>
        <w:t xml:space="preserve">Warrants. </w:t>
      </w:r>
      <w:r>
        <w:rPr>
          <w:rFonts w:ascii="Times New Roman;Times;Serif" w:hAnsi="Times New Roman;Times;Serif"/>
          <w:b w:val="false"/>
          <w:i w:val="false"/>
          <w:caps w:val="false"/>
          <w:smallCaps w:val="false"/>
          <w:sz w:val="20"/>
          <w:shd w:fill="FFFFFF" w:val="clear"/>
        </w:rPr>
        <w:t>The Spirit Warrants were only exercisable upon the successful completion of the IPO, and would be substituted in kind with stock acquisition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pursuant to a side letter agreement between the Company and Spirit Advisors, LLC, the Spirit Warrants were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633" w:name="xdx_805_eus-gaap--SegmentReportingDisclo"/>
      <w:bookmarkEnd w:id="633"/>
      <w:r>
        <w:rPr>
          <w:rFonts w:ascii="Times New Roman;Times;Serif" w:hAnsi="Times New Roman;Times;Serif"/>
          <w:b/>
          <w:i w:val="false"/>
          <w:caps w:val="false"/>
          <w:smallCaps w:val="false"/>
          <w:sz w:val="20"/>
          <w:shd w:fill="FFFFFF" w:val="clear"/>
        </w:rPr>
        <w:t xml:space="preserve">17. </w:t>
      </w:r>
      <w:bookmarkStart w:id="634" w:name="xdx_825_zkSm9PoYRIp6"/>
      <w:bookmarkEnd w:id="634"/>
      <w:r>
        <w:rPr>
          <w:rFonts w:ascii="Times New Roman;Times;Serif" w:hAnsi="Times New Roman;Times;Serif"/>
          <w:b/>
          <w:i w:val="false"/>
          <w:caps w:val="false"/>
          <w:smallCaps w:val="false"/>
          <w:sz w:val="20"/>
          <w:shd w:fill="FFFFFF" w:val="clear"/>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a </w:t>
      </w:r>
      <w:bookmarkStart w:id="635" w:name="xdx_905_eus-gaap--NumberOfReportableSegm"/>
      <w:bookmarkEnd w:id="635"/>
      <w:r>
        <w:rPr>
          <w:rFonts w:ascii="Times New Roman;Times;Serif" w:hAnsi="Times New Roman;Times;Serif"/>
          <w:b w:val="false"/>
          <w:i w:val="false"/>
          <w:caps w:val="false"/>
          <w:smallCaps w:val="false"/>
          <w:sz w:val="20"/>
        </w:rPr>
        <w:t>1 single reportable segment. The CODM reviews financial performance and allocates resources as a whole, using net income as the measure of segment profit or loss as the total expense amount. No disaggregated expense categories are regularly reviewed by the CODM other than the expense categories reported on the Statement of Operations. As such, the Company has not identified any segment expense categories that meet the criteria for disclosure under ASC 280, as amended by ASU 2023-07.</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derived primarily from three sources: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853" w:type="dxa"/>
        <w:jc w:val="left"/>
        <w:tblInd w:w="0" w:type="dxa"/>
        <w:shd w:fill="FFFFFF" w:val="clear"/>
        <w:tblLayout w:type="fixed"/>
        <w:tblCellMar>
          <w:top w:w="0" w:type="dxa"/>
          <w:left w:w="0" w:type="dxa"/>
          <w:bottom w:w="0" w:type="dxa"/>
          <w:right w:w="0" w:type="dxa"/>
        </w:tblCellMar>
      </w:tblPr>
      <w:tblGrid>
        <w:gridCol w:w="38"/>
        <w:gridCol w:w="170"/>
        <w:gridCol w:w="26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software</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support services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 are the same as those described in the summary of significant accounting policies. The CODM, the Company’s CEO, assesses performance for the segment and decides how to allocate resources based on net income that also is reported on the Statement of Operations. The measure of segment assets is reported on the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net income to evaluate income generated from segment assets (i.e., return on assets) in deciding whether to reinvest profits into the segment or into other parts of the entity, such as for acquisitions or to pay dividends, if any. Net income is used to monitor budget versus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determined that it operates as one reportable segment, the segment information is consistent with the financial statements, and therefore no reconciliation is required.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6" w:name="xdx_80F_eus-gaap--RelatedPartyTransactio"/>
      <w:bookmarkEnd w:id="636"/>
      <w:r>
        <w:rPr>
          <w:rFonts w:ascii="Times New Roman;Times;Serif" w:hAnsi="Times New Roman;Times;Serif"/>
          <w:b/>
          <w:i w:val="false"/>
          <w:caps w:val="false"/>
          <w:smallCaps w:val="false"/>
          <w:sz w:val="20"/>
        </w:rPr>
        <w:t xml:space="preserve">18. </w:t>
      </w:r>
      <w:bookmarkStart w:id="637" w:name="xdx_824_zYfdRGnRg0v"/>
      <w:bookmarkEnd w:id="637"/>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8" w:name="xdx_891_ecustom--ScheduleOfNatureOfRelat"/>
      <w:bookmarkEnd w:id="638"/>
      <w:r>
        <w:rPr>
          <w:rFonts w:ascii="Times New Roman;Times;Serif" w:hAnsi="Times New Roman;Times;Serif"/>
          <w:b w:val="false"/>
          <w:i w:val="false"/>
          <w:caps w:val="false"/>
          <w:smallCaps w:val="false"/>
          <w:sz w:val="20"/>
        </w:rPr>
        <w:t>The related parties with which the Company had material transactions during the fiscal years ended March 31, 2026, 2025 and 2024, or material balances as of March 31, 2026 and 2025, were as follows:</w:t>
      </w:r>
    </w:p>
    <w:p>
      <w:pPr>
        <w:pStyle w:val="TextBody"/>
        <w:bidi w:val="0"/>
        <w:spacing w:before="0" w:after="0"/>
        <w:ind w:left="0" w:right="0" w:hanging="0"/>
        <w:jc w:val="both"/>
        <w:rPr>
          <w:caps w:val="false"/>
          <w:smallCaps w:val="false"/>
        </w:rPr>
      </w:pPr>
      <w:r>
        <w:rPr>
          <w:caps w:val="false"/>
          <w:smallCaps w:val="false"/>
        </w:rPr>
        <w:t> </w:t>
      </w:r>
      <w:bookmarkStart w:id="639" w:name="xdx_8B4_zqdcmERVWbib"/>
      <w:bookmarkEnd w:id="639"/>
      <w:r>
        <w:rPr>
          <w:rFonts w:ascii="Times New Roman;Times;Serif" w:hAnsi="Times New Roman;Times;Serif"/>
          <w:b w:val="false"/>
          <w:i w:val="false"/>
          <w:caps w:val="false"/>
          <w:smallCaps w:val="false"/>
          <w:sz w:val="20"/>
        </w:rPr>
        <w:t>Schedule of Nature of Relationship of Related Parties</w:t>
      </w:r>
    </w:p>
    <w:tbl>
      <w:tblPr>
        <w:tblW w:w="10205" w:type="dxa"/>
        <w:jc w:val="left"/>
        <w:tblInd w:w="0" w:type="dxa"/>
        <w:tblLayout w:type="fixed"/>
        <w:tblCellMar>
          <w:top w:w="0" w:type="dxa"/>
          <w:left w:w="0" w:type="dxa"/>
          <w:bottom w:w="28" w:type="dxa"/>
          <w:right w:w="0" w:type="dxa"/>
        </w:tblCellMar>
      </w:tblPr>
      <w:tblGrid>
        <w:gridCol w:w="1618"/>
        <w:gridCol w:w="60"/>
        <w:gridCol w:w="8527"/>
      </w:tblGrid>
      <w:tr>
        <w:trPr/>
        <w:tc>
          <w:tcPr>
            <w:tcW w:w="161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2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Nature of Relationship</w:t>
            </w:r>
          </w:p>
        </w:tc>
      </w:tr>
      <w:tr>
        <w:trPr/>
        <w:tc>
          <w:tcPr>
            <w:tcW w:w="161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Clustar,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2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bookmarkStart w:id="640" w:name="xdx_901_eus-gaap--RelatedPartyTransactio"/>
            <w:bookmarkEnd w:id="640"/>
            <w:r>
              <w:rPr>
                <w:rFonts w:ascii="Times New Roman;Times;Serif" w:hAnsi="Times New Roman;Times;Serif"/>
              </w:rPr>
              <w:t>A company controlled by Mr. Teppei Shinkawa*, the Company’s former director and Chief Financial Officer during the fiscal year ended March 31, 2024.</w:t>
            </w:r>
          </w:p>
        </w:tc>
      </w:tr>
      <w:tr>
        <w:trPr/>
        <w:tc>
          <w:tcPr>
            <w:tcW w:w="161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Samulion Factory,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27"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bookmarkStart w:id="641" w:name="xdx_90B_eus-gaap--RelatedPartyTransactio"/>
            <w:bookmarkEnd w:id="641"/>
            <w:r>
              <w:rPr>
                <w:rFonts w:ascii="Times New Roman;Times;Serif" w:hAnsi="Times New Roman;Times;Serif"/>
              </w:rPr>
              <w:t>A company controlled by Mr. Teppei Shinkawa, the Company’s former director and Chief Financial Officer during the fiscal year ended March 31, 2024.</w:t>
            </w:r>
          </w:p>
        </w:tc>
      </w:tr>
    </w:tbl>
    <w:p>
      <w:pPr>
        <w:pStyle w:val="TextBody"/>
        <w:bidi w:val="0"/>
        <w:spacing w:before="0" w:after="0"/>
        <w:ind w:left="0" w:right="0" w:hanging="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140"/>
        <w:gridCol w:w="23"/>
        <w:gridCol w:w="413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642" w:name="xdx_F08_zQqQmJWsxNvd"/>
            <w:bookmarkEnd w:id="642"/>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both"/>
              <w:rPr>
                <w:rFonts w:ascii="Times New Roman;Times;Serif" w:hAnsi="Times New Roman;Times;Serif"/>
                <w:sz w:val="20"/>
              </w:rPr>
            </w:pPr>
            <w:bookmarkStart w:id="643" w:name="xdx_F17_zvYJirP9Kbd5"/>
            <w:bookmarkEnd w:id="643"/>
            <w:r>
              <w:rPr>
                <w:rFonts w:ascii="Times New Roman;Times;Serif" w:hAnsi="Times New Roman;Times;Serif"/>
                <w:sz w:val="20"/>
              </w:rPr>
              <w:t>Mr. Teppei Shinkawa resigned in September 2023.</w:t>
            </w:r>
          </w:p>
        </w:tc>
      </w:tr>
    </w:tbl>
    <w:p>
      <w:pPr>
        <w:pStyle w:val="TextBody"/>
        <w:bidi w:val="0"/>
        <w:spacing w:before="0" w:after="0"/>
        <w:ind w:left="0" w:right="0" w:hanging="0"/>
        <w:jc w:val="both"/>
        <w:rPr>
          <w:caps w:val="false"/>
          <w:smallCaps w:val="false"/>
        </w:rPr>
      </w:pPr>
      <w:bookmarkStart w:id="644" w:name="xdx_8A4_zTrdemOCRt7f"/>
      <w:bookmarkEnd w:id="6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5" w:name="xdx_893_eus-gaap--ScheduleOfRelatedParty"/>
      <w:bookmarkEnd w:id="645"/>
      <w:r>
        <w:rPr>
          <w:rFonts w:ascii="Times New Roman;Times;Serif" w:hAnsi="Times New Roman;Times;Serif"/>
          <w:b w:val="false"/>
          <w:i w:val="false"/>
          <w:caps w:val="false"/>
          <w:smallCaps w:val="false"/>
          <w:sz w:val="20"/>
        </w:rPr>
        <w:t>The Company had the following related party transactions during the years ended March 31, 2026, 2025 and 2024:</w:t>
      </w:r>
    </w:p>
    <w:p>
      <w:pPr>
        <w:pStyle w:val="TextBody"/>
        <w:bidi w:val="0"/>
        <w:spacing w:before="0" w:after="0"/>
        <w:ind w:left="0" w:right="0" w:hanging="0"/>
        <w:jc w:val="both"/>
        <w:rPr>
          <w:caps w:val="false"/>
          <w:smallCaps w:val="false"/>
        </w:rPr>
      </w:pPr>
      <w:r>
        <w:rPr>
          <w:caps w:val="false"/>
          <w:smallCaps w:val="false"/>
        </w:rPr>
        <w:t> </w:t>
      </w:r>
      <w:bookmarkStart w:id="646" w:name="xdx_8BC_zGy5Kl5OM4tb"/>
      <w:bookmarkEnd w:id="646"/>
      <w:r>
        <w:rPr>
          <w:rFonts w:ascii="Times New Roman;Times;Serif" w:hAnsi="Times New Roman;Times;Serif"/>
          <w:b w:val="false"/>
          <w:i w:val="false"/>
          <w:caps w:val="false"/>
          <w:smallCaps w:val="false"/>
          <w:sz w:val="20"/>
        </w:rPr>
        <w:t>Schedule of Related Party Transactions</w:t>
      </w:r>
    </w:p>
    <w:tbl>
      <w:tblPr>
        <w:tblW w:w="9815" w:type="dxa"/>
        <w:jc w:val="left"/>
        <w:tblInd w:w="0" w:type="dxa"/>
        <w:tblLayout w:type="fixed"/>
        <w:tblCellMar>
          <w:top w:w="0" w:type="dxa"/>
          <w:left w:w="0" w:type="dxa"/>
          <w:bottom w:w="0" w:type="dxa"/>
          <w:right w:w="0" w:type="dxa"/>
        </w:tblCellMar>
      </w:tblPr>
      <w:tblGrid>
        <w:gridCol w:w="2785"/>
        <w:gridCol w:w="76"/>
        <w:gridCol w:w="3832"/>
        <w:gridCol w:w="60"/>
        <w:gridCol w:w="225"/>
        <w:gridCol w:w="514"/>
        <w:gridCol w:w="96"/>
        <w:gridCol w:w="96"/>
        <w:gridCol w:w="225"/>
        <w:gridCol w:w="514"/>
        <w:gridCol w:w="96"/>
        <w:gridCol w:w="96"/>
        <w:gridCol w:w="225"/>
        <w:gridCol w:w="900"/>
        <w:gridCol w:w="75"/>
      </w:tblGrid>
      <w:tr>
        <w:trPr/>
        <w:tc>
          <w:tcPr>
            <w:tcW w:w="27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3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March 31,</w:t>
            </w:r>
          </w:p>
        </w:tc>
        <w:tc>
          <w:tcPr>
            <w:tcW w:w="75" w:type="dxa"/>
            <w:tcBorders/>
            <w:vAlign w:val="center"/>
          </w:tcPr>
          <w:p>
            <w:pPr>
              <w:pStyle w:val="TableContents"/>
              <w:bidi w:val="0"/>
              <w:spacing w:before="0" w:after="283"/>
              <w:jc w:val="left"/>
              <w:rPr/>
            </w:pPr>
            <w:r>
              <w:rPr/>
              <w:t> </w:t>
            </w:r>
          </w:p>
        </w:tc>
      </w:tr>
      <w:tr>
        <w:trPr/>
        <w:tc>
          <w:tcPr>
            <w:tcW w:w="2785"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c>
          <w:tcPr>
            <w:tcW w:w="3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6693"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Selling, General and Administrative Expenses with related parties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Clustar, Inc.</w:t>
            </w:r>
          </w:p>
        </w:tc>
        <w:tc>
          <w:tcPr>
            <w:tcW w:w="76" w:type="dxa"/>
            <w:tcBorders/>
            <w:shd w:fill="FFFFFF" w:val="clear"/>
            <w:vAlign w:val="center"/>
          </w:tcPr>
          <w:p>
            <w:pPr>
              <w:pStyle w:val="TableContents"/>
              <w:bidi w:val="0"/>
              <w:spacing w:before="0" w:after="283"/>
              <w:jc w:val="left"/>
              <w:rPr/>
            </w:pPr>
            <w:r>
              <w:rPr/>
              <w:t> </w:t>
            </w:r>
          </w:p>
        </w:tc>
        <w:tc>
          <w:tcPr>
            <w:tcW w:w="38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Advertising expenses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7" w:name="xdx_984_eus-gaap--AdvertisingExpense_pn3"/>
            <w:bookmarkEnd w:id="647"/>
          </w:p>
        </w:tc>
        <w:tc>
          <w:tcPr>
            <w:tcW w:w="514"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8" w:name="xdx_983_eus-gaap--AdvertisingExpense_pn3"/>
            <w:bookmarkEnd w:id="648"/>
          </w:p>
        </w:tc>
        <w:tc>
          <w:tcPr>
            <w:tcW w:w="514"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9" w:name="xdx_987_eus-gaap--AdvertisingExpense_pn3"/>
            <w:bookmarkEnd w:id="649"/>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2,190</w:t>
            </w:r>
          </w:p>
        </w:tc>
        <w:tc>
          <w:tcPr>
            <w:tcW w:w="75" w:type="dxa"/>
            <w:tcBorders/>
            <w:shd w:fill="FFFFFF" w:val="clear"/>
            <w:vAlign w:val="center"/>
          </w:tcPr>
          <w:p>
            <w:pPr>
              <w:pStyle w:val="TableContents"/>
              <w:bidi w:val="0"/>
              <w:spacing w:before="0" w:after="283"/>
              <w:jc w:val="left"/>
              <w:rPr/>
            </w:pPr>
            <w:r>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Samulion Factory, Inc.</w:t>
            </w:r>
          </w:p>
        </w:tc>
        <w:tc>
          <w:tcPr>
            <w:tcW w:w="76" w:type="dxa"/>
            <w:tcBorders/>
            <w:shd w:fill="CCEEFF" w:val="clear"/>
            <w:vAlign w:val="center"/>
          </w:tcPr>
          <w:p>
            <w:pPr>
              <w:pStyle w:val="TableContents"/>
              <w:bidi w:val="0"/>
              <w:spacing w:before="0" w:after="283"/>
              <w:jc w:val="left"/>
              <w:rPr/>
            </w:pPr>
            <w:r>
              <w:rPr/>
              <w:t> </w:t>
            </w:r>
          </w:p>
        </w:tc>
        <w:tc>
          <w:tcPr>
            <w:tcW w:w="38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of consulting services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bookmarkStart w:id="650" w:name="xdx_980_ecustom--ProvisionOfConsultingSe"/>
            <w:bookmarkEnd w:id="650"/>
          </w:p>
        </w:tc>
        <w:tc>
          <w:tcPr>
            <w:tcW w:w="51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bookmarkStart w:id="651" w:name="xdx_982_ecustom--ProvisionOfConsultingSe"/>
            <w:bookmarkEnd w:id="651"/>
          </w:p>
        </w:tc>
        <w:tc>
          <w:tcPr>
            <w:tcW w:w="51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bookmarkStart w:id="652" w:name="xdx_986_ecustom--ProvisionOfConsultingSe"/>
            <w:bookmarkEnd w:id="652"/>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3" w:name="xdx_8A2_zKSnl1H5Dby"/>
      <w:bookmarkEnd w:id="6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 had no balances outstanding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paid to its directors for services rendered in the normal course of business. Compensation for directors is determined by the Board of Directors and/or shareholders in accordance with the Company’s Articles of Incorporation. Total compensation paid to the directors during the fiscal years ended March 31, 2026, 2025 and 2024 was JPY</w:t>
      </w:r>
      <w:bookmarkStart w:id="654" w:name="xdx_900_eus-gaap--EmployeeBenefitsAndSha"/>
      <w:bookmarkEnd w:id="654"/>
      <w:r>
        <w:rPr>
          <w:rFonts w:ascii="Times New Roman;Times;Serif" w:hAnsi="Times New Roman;Times;Serif"/>
          <w:b w:val="false"/>
          <w:i w:val="false"/>
          <w:caps w:val="false"/>
          <w:smallCaps w:val="false"/>
          <w:sz w:val="20"/>
        </w:rPr>
        <w:t>47,800, JPY</w:t>
      </w:r>
      <w:bookmarkStart w:id="655" w:name="xdx_90A_eus-gaap--EmployeeBenefitsAndSha"/>
      <w:bookmarkEnd w:id="655"/>
      <w:r>
        <w:rPr>
          <w:rFonts w:ascii="Times New Roman;Times;Serif" w:hAnsi="Times New Roman;Times;Serif"/>
          <w:b w:val="false"/>
          <w:i w:val="false"/>
          <w:caps w:val="false"/>
          <w:smallCaps w:val="false"/>
          <w:sz w:val="20"/>
        </w:rPr>
        <w:t>53,274 and JPY</w:t>
      </w:r>
      <w:bookmarkStart w:id="656" w:name="xdx_906_eus-gaap--EmployeeBenefitsAndSha"/>
      <w:bookmarkEnd w:id="656"/>
      <w:r>
        <w:rPr>
          <w:rFonts w:ascii="Times New Roman;Times;Serif" w:hAnsi="Times New Roman;Times;Serif"/>
          <w:b w:val="false"/>
          <w:i w:val="false"/>
          <w:caps w:val="false"/>
          <w:smallCaps w:val="false"/>
          <w:sz w:val="20"/>
        </w:rPr>
        <w:t>44,100, respectively.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657" w:name="xdx_806_eus-gaap--SubsequentEventsTextBl"/>
      <w:bookmarkEnd w:id="657"/>
      <w:r>
        <w:rPr>
          <w:rFonts w:ascii="Times New Roman;Times;Serif" w:hAnsi="Times New Roman;Times;Serif"/>
          <w:b/>
          <w:i w:val="false"/>
          <w:caps w:val="false"/>
          <w:smallCaps w:val="false"/>
          <w:sz w:val="20"/>
        </w:rPr>
        <w:t xml:space="preserve">19. </w:t>
      </w:r>
      <w:bookmarkStart w:id="658" w:name="xdx_826_zMslT1sXUxr8"/>
      <w:bookmarkEnd w:id="658"/>
      <w:r>
        <w:rPr>
          <w:rFonts w:ascii="Times New Roman;Times;Serif" w:hAnsi="Times New Roman;Times;Serif"/>
          <w:b/>
          <w:i w:val="false"/>
          <w:caps w:val="false"/>
          <w:smallCaps w:val="false"/>
          <w:sz w:val="20"/>
        </w:rPr>
        <w:t>Subsequent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after the balance sheet date through July 31, 2026, the date the financial statements were available for issuance. Management has determined that no significant events or transactions have occurred subsequent to the balance sheet date other than the events disclosed below that require both recognition and disclosure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Supreme Court of Japan dismissed the Company’s appeal relating to the legal proceeding described in Note 9. Following the dismissal, the Company paid all remaining amounts due, including applicable interest and late-payment penalties. As of the date of this report, the Company had completed payment in full, and no outstanding balance remained in connection with this matter.</w:t>
      </w:r>
    </w:p>
    <w:p>
      <w:pPr>
        <w:pStyle w:val="TextBody"/>
        <w:bidi w:val="0"/>
        <w:spacing w:before="0" w:after="0"/>
        <w:ind w:left="0" w:right="0" w:hanging="0"/>
        <w:jc w:val="left"/>
        <w:rPr>
          <w:caps w:val="false"/>
          <w:smallCaps w:val="false"/>
        </w:rPr>
      </w:pPr>
      <w:bookmarkStart w:id="659" w:name="xdx_81D_zX9ancteC5m4"/>
      <w:bookmarkEnd w:id="65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0" w:name="ex2-3.htm"/>
      <w:bookmarkStart w:id="661" w:name="ksex23"/>
      <w:bookmarkEnd w:id="660"/>
      <w:bookmarkEnd w:id="66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 as Amended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(“ADSs”) of Robot Consulting Co., Ltd. (“we,” “our,” “our Company,” or “us”) are listed and traded on the Nasdaq Capital Market under the symbol “LAWR” since July 17, 2025, and in connection with this listing (but not for trading), our ADSs are registered under Section 12(b) of the Exchange Act. Each ADS represents one of our ordinary shares (“Ordinary Shares”). This exhibit contains a description of the rights of the holders of Ordinary Shares and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a summary of the material information concerning our Ordinary Shares, including brief summaries of the relevant provisions of our Articles of Incorporation and of the Companies Act relating to joint-stock corporation (kabushiki kaisha) with limited liability, and certain related laws and legislation, each as currently in effect. Because it is a summary, this discussion should be read together with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no pre-emptive rights under our Articles of Incorporation or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Japan as a joint-stock corporation with limited liability under the Companies Act. The rights of our shareholders are represented by our Ordinary Shares as described below, and shareholders’ liability is limited to the amount of subscription for such Ordinary Shares. As of the date of March 31, 2026, our authorized share capital consisted of 168,000,000 Ordinary Shares, of which 45,960,000 Ordinary Shares were issued and outstanding. We are a company which issues share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 by Controlling Shareholder to Sell All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in general, a shareholder holding 90% or more of our voting rights, directly or through wholly-owned subsidiaries, shall have the right to request that all other shareholders other than us (and all other holders of share acquisition rights other than us, as the case may be) sell all shares (and all share acquisition rights, as the case may be) held by them with our approval, which must be made by a resolution of the board of directors (kabushiki tou uriwatashi seikyu, or a “Share Sales Request”). In order to make a Share Sales Request, such controlling shareholder will be required to issue a prior notice to us. If we approve such Share Sales Request, we will be required to make a public notice to all holders and registered pledgees of shares (and share acquisition rights, as the case may be) not later than 20 days before the effective date of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by Us of Shares Held by Shareholders Whose Addresses Are Unknown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are not required to send a notice to a shareholder if notices to such shareholder fail to arrive for a continuous period of five or more years at the registered address of such shareholder in the register of our shareholders or at the address otherwise notified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sell or otherwise dispose of the shares held by a shareholder whose location is unknown. Generally,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to a shareholder fail to arrive for a continuous period of five or more years at the shareholder’s registered address in the register of our shareholders or at the address otherwise notified to us, and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fails to receive distribution of surplus on the shares for a continuous period of five or more years at the address registered in the register of our shareholders or at the address otherwise notified to us,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otherwise dispose of the shareholder’s shares at the market price (as applicable) after giving at least three months’ prior public and individual notices, and hold or deposit the proceeds of such sale or disposal for the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Shareholders of our Ordinary Shares (Item 10.B.3 and 10.B.4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Meeting of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general meeting of shareholders shall be convened within three months from the day following each business year and is usually held every July in Tokyo, Japan. The record date for an ordinary general meeting of shareholders is March 31 of each year. In addition, we may hold an extraordinary general meeting of shareholders whenever necessary by giving at least two-week advance notice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convocation of a general meeting of shareholders setting forth the time, place, purpose thereof, and certain other matters set forth in the Companies Act and relevant ordinances must be mailed to each shareholder having voting rights (or, in the case of a non-resident shareholder, to his or her standing proxy or mailing address in Japan) at least two weeks prior to the date set for such meeting. Such notice may be given to shareholders by electronic means, subject to the consent of the relevant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or group of shareholders holding at least 3% of the total number of voting rights for a period of six months or more may require, with an individual shareholder notice, the convocation of a general meeting of shareholders for a particular purpose. Unless such general meeting of shareholders is convened without delay or a convocation notice of a meeting which is to be held not later than eight weeks from the day of such demand is dispatched, the requiring shareholder may, upon obtaining a court approval, convene such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or group of shareholders holding at least 300 voting rights or 1% of the total number of voting rights for a period of six months or more may propose a matter to be included in the agenda of a general meeting of shareholders, and may propose to describe such matter together with a summary of the proposal to be submitted by such shareholder in a notice to our shareholders, by submitting a request to a director at least eight weeks prior to the date set for such meeting (provided that we are able to limit the number of such matters proposed by each shareholder to 10), with an individual shareholder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enables a company to amend its articles of incorporation in order to loosen the requirements for the number of shares held and shareholding period, as well as the period required for dispatching a convocation notice or submission of requests, all of which are required for any shareholder or group of shareholders to request the convocation of a general meeting of shareholders, to propose a matter to be included in the agenda of a general meeting of shareholders or to request to include a summary of such matter in a convocation notice. Our articles of incorporation do not provide for loosening such requirements.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of record is entitled to one vote per Ordinary Share, except that neither we nor any corporation, partnership, or other similar entity in which we hold, directly or indirectly, 25% or more of the voting rights shall exercise any voting rights in respect of Ordinary Shares held by us or such entity, as the case may be. Except as otherwise provided by law or by our articles of incorporation, a resolution can be adopted at a general meeting of shareholders by a majority of the voting rights represented at the meeting. Shareholders may also exercise their voting rights through proxies, provided that the proxy is granted to one of our shareholders having voting rights. The Companies Act and our articles of incorporation provide that the quorum for the election of directors is one-third of the total number of voting rights. Our articles of incorporation provide that the Ordinary Shares may not be voted cumulatively for the election of directors. Our shareholders may exercise voting rights in writing, or electronically in accordance with a resolution of the board of directors. The Companies Act provides that a special resolution of the general meeting of shareholders is required for certain significant corporate transactions,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our articles of incorporation (except for amendments that may be made without the approval of shareholders under the Companies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share capital, subject to certain exceptions under which a shareholders’ resolution is not required, such as a reduction of share capital for the purpose of replenishing capital deficiencies;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the whole or a part of our equity interests in any of our subsidiaries,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dissolution, merger, or consolidation,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the whole or a substantial part of our business,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taking over of the whole of the business of any other corporation,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split,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 (kabushiki kokan) or share transfer (kabushiki iten) for the purpose of establishing 100% parent-subsidiary relationships,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delivery (kabushiki kofu) for the purpose of making another corporation a subsidiary, subject to certain exceptions under which a shareholders’ resolution is not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issuance of new shares or transfer of existing shares held by us as treasury shares at a “specially favorable” price and any issuance of share acquisition rights or bonds with share acquisition rights at a “specially favorable” price or in a “specially favorable” condition to any persons other than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by us of our own shares from specific persons other than our subsidiaries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share split;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removal of a corporate auditor.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 or in our articles of incorporation, a special resolution of the general meeting of shareholders requires the approval of the holders of at least two-thirds of the voting rights of all shareholders present or represented at a meeting where a quorum is present. Our articles of incorporation provide that a quorum exists when a majority of the total number of voting rights is present or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liquidated, the assets remaining after payment of all taxes, liquidation expenses, and debts will be distributed among holders of Ordinary Shares in proportion to the number of Ordinary Shares they hold.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to Allotment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have no pre-emptive rights. Authorized but unissued shares may be issued at the times and on the terms as the board of directors determines, so long as the limitations with respect to the issuance of new shares at “specially favorable” prices (as described in “— Voting Rights”) are observed. Our board of directors may, however, determine that shareholders shall be given rights to allotment regarding a particular issue of new shares, in which case such rights must be given on uniform terms to all holders of the shares as of a record date for which not less than two weeks’ prior public notice must be given. Each shareholder to whom such rights are given must also be given notice of the expiration date thereof at least two weeks prior to the date on which such rights expire. The rights to allotment of new shares may not be transferred. However, the Companies Act enables us to allot share acquisition rights to shareholders without consideration therefor, and such share acquisition rights are transferable. See “— Share Acquisition Rights”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a particular issuance of new shares (i) violates laws and regulations or our articles of incorporation, or (ii) will be performed in a manner materially unfair, and shareholders may suffer disadvantages therefrom, such shareholders may file an injunction with a court of law to enjoin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Acquisition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and to the limitations on issuances at a “specially favorable” price or on “specially favorable” conditions described in “— Voting Rights,” we may issue share acquisition rights (shinkabu yoyakuken) and bonds with share acquisition rights (shinkabu yoyakuken-tsuki shasai) by a resolution of the board of directors. Holders of share acquisition rights may exercise their rights to acquire a certain number of shares within the exercise period as set forth in the terms of their share acquisition rights. Upon exercise of share acquisition rights, we will be obligated either to issue the relevant number of new shares or, alternatively, to transfer the necessary number of shares of treasury shares held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annual dividends, if any, and the determination of shareholders entitled to vote at the ordinary general meeting of our shareholders is March 31. The record date for interim dividends, if any, is September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by a resolution of the board of directors, we may set a record date for determining the shareholders entitled to other rights and for other purposes by giving at least two weeks’ prior public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Our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may acquire our own shares: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purchase from a specific party other than any of our subsidiaries, pursuant to a special resolution of a general meeting of shareholders;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purchase from any of our subsidiaries, pursuant to a resolution of the board of directors.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acquisition of shares must satisfy certain requirements, such as that we may only acquire our own shares in an aggregate amount up to the amount that we may distribute as surplus. See “— Distribution of Surplus” above for more details regarding this amount.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 shares acquired by us may be held by us as treasury shares for any period or may be cancelled by resolution of the board of directors. We may also transfer the shares held by us to any person, subject to a special resolution of a general meeting of shareholders or a resolution of the board of directors, as the case may be, and subject also to other requirements similar to those applicable to the issuance of new shares, as described in “— Rights to Allotment of Shares” above. We may also utilize our treasury shares (x) for the purpose of transfer to any person upon exercise of share acquisition rights or (y) for the purpose of acquiring another company by way of merger, share exchange, share delivery or corporate split through exchange of treasury shares for shares or assets of the acquired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 (Item 10.B.6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restrictions with respect to non-residents of Japan or foreign shareholders holding our Ordinary Shares or on the exercise of voting rights, except for filing requirements with respect to an acquisition of shares by a Non-Resident of Japan under the Foreign Exchange and Foreign Trade Act of Japan and related regulations. However, pursuant to a provision of our share handling regulations, a shareholder who does not have an address or residence in Japan is required to file with our transfer agent its temporary address to receive notices in Japan or that of a standing proxy having any address or residence in Japan.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in our articles of incorporation that would have the effect of delaying, deferring, or preventing a change in control that would operate only with respect to a merger, acquisition, or corporate restructuring involving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in our articles of incorporation or other subordinated rules regarding an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Items 10.B.2 to 10.B.8, the Company has identified in the responses above where provisions of the Companies Act applicable to the Company is significantly different from the comparable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in our articles of incorporation governing changes in our Company’s capital more stringent than is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Securities (Item 12.A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Rights (Item 12.B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Securities (Item 12.C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American Depositary Shares (Items 12.D.1 and 12.D.2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will register and deliver ADSs. Each ADS will represent one share (or a right to receive one share) deposited with MUFG Bank, as custodian for the depositary in Japan.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Japanese_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w:t>
      </w:r>
      <w:r>
        <w:rPr>
          <w:rFonts w:ascii="Times New Roman;Times;Serif" w:hAnsi="Times New Roman;Times;Serif"/>
          <w:b w:val="false"/>
          <w:i w:val="false"/>
          <w:caps w:val="false"/>
          <w:smallCaps w:val="false"/>
          <w:sz w:val="20"/>
        </w:rPr>
        <w:t>.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making a distribution, any withholding taxes, or other governmental charges that must be paid will be deducted. See “Material Income Tax Considerations.” The depositary will distribute only whole U.S. dollars and cents and will round fractional cents to the nearest whole cent. </w:t>
      </w:r>
      <w:r>
        <w:rPr>
          <w:rFonts w:ascii="Times New Roman;Times;Serif" w:hAnsi="Times New Roman;Times;Serif"/>
          <w:b w:val="false"/>
          <w:i/>
          <w:caps w:val="false"/>
          <w:smallCaps w:val="false"/>
          <w:sz w:val="20"/>
        </w:rPr>
        <w:t>If the exchange rates fluctuate during a time when the depositary cannot convert the foreign currency, you may lose some of the value of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to purchase additional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Times New Roman;Times;Serif" w:hAnsi="Times New Roman;Times;Serif"/>
          <w:b w:val="false"/>
          <w:i/>
          <w:caps w:val="false"/>
          <w:smallCaps w:val="false"/>
          <w:sz w:val="20"/>
        </w:rPr>
        <w:t>In that case, you will receive no value for them.</w:t>
      </w:r>
      <w:r>
        <w:rPr>
          <w:rFonts w:ascii="Times New Roman;Times;Serif" w:hAnsi="Times New Roman;Times;Serif"/>
          <w:b w:val="false"/>
          <w:i w:val="false"/>
          <w:caps w:val="false"/>
          <w:smallCaps w:val="false"/>
          <w:sz w:val="20"/>
        </w:rPr>
        <w:t xml:space="preserve"> The depositary will exercise or distribute rights only if we ask it to and provide satisfactory assurances to the depositary that it is legal to do so. If the depositary does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Distributions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Alternatively, the depositary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Times;Serif" w:hAnsi="Times New Roman;Times;Serif"/>
          <w:b w:val="false"/>
          <w:i/>
          <w:caps w:val="false"/>
          <w:smallCaps w:val="false"/>
          <w:sz w:val="20"/>
        </w:rPr>
        <w:t>This means that you may not receive the distributions we make on our shares or any value for them if it is illegal or impractical for us to make them available to you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Your ability to deposit shares for delivery of ADSs or to surrender ADSs and receive delivery of the deposited shares may be subject to special pre-notification and pre-clearance requirements under Japanese law and regulations. See “Item 10. Additional Information—D. Exchange Controls” of the annual report this exhibit is attached thereto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can ADS holders withdraw the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can ADSs be cancelled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cancel ADSs, upon notice to you, if there are no underlying deposited securities, or deposited securities have become apparently worthless or to the extent there are insufficient underlying deposited securities because of an increase in the number of shares represented by one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Japan and the provisions of our articles of incorporation or similar documents, to vote or to have its agents vote the deposited shares as instructed by ADS holders. 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Except by instructing the depositary as described above, you will not be able to exercise voting rights unless you surrender your ADSs and withdraw the shares. However, you may not know about the meeting enough in advance to withdraw the shares.</w:t>
      </w:r>
      <w:r>
        <w:rPr>
          <w:rFonts w:ascii="Times New Roman;Times;Serif" w:hAnsi="Times New Roman;Times;Serif"/>
          <w:b w:val="false"/>
          <w:i w:val="false"/>
          <w:caps w:val="false"/>
          <w:smallCaps w:val="false"/>
          <w:sz w:val="20"/>
        </w:rPr>
        <w:t xml:space="preserve"> In any event, the depositary will not exercise any discretion in voting deposited securities and it will only vote or attempt to vote as instructed.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voting rights and there may be nothing you can do if the shares represented by your ADSs are not voted as you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7"/>
        <w:gridCol w:w="60"/>
        <w:gridCol w:w="5138"/>
      </w:tblGrid>
      <w:tr>
        <w:trPr/>
        <w:tc>
          <w:tcPr>
            <w:tcW w:w="500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Holders or persons depositing or withdrawing shares, surrendering ADSs, or to whom or from whom ADSs are delivered or cancelled, must pay</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(or less) per 100 ADSs (or portion of 100 ADSs)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Surrender of ADSs for the purpose of withdrawal or cancellation of ADSs, including if the deposit agreement terminates or in relation to a change in the number of shares represented by ADSs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(or less) per ADS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 equivalent to the fee that would be payable if securities distributed to you had been shares and the shares had been deposited for issuance of ADSs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Fees assessed from time to time, but not exceeding $.10 (or less) per ADS during any calendar year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 and registration of shares on our share register to or from the name of the depositary or its agent when you deposit or withdraw shares </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p>
            <w:pPr>
              <w:pStyle w:val="TableContents"/>
              <w:bidi w:val="0"/>
              <w:spacing w:before="0" w:after="0"/>
              <w:ind w:left="0" w:right="0" w:hanging="0"/>
              <w:jc w:val="both"/>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charges incurred by the depositary or its agents for servicing the deposited 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While aggregate fees for depositary services will not exceed $.10 per ADS in a calendar year, an investor may be charged more than one such fee in a consecutive 12-month period.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Cancellation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days have passed since the depositary told us it wants to resign but a successor depositary has not been appointed and accepted its appointment;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delist the ADSs from an exchange in the United States on which they were listed and do not list the ADSs on another exchange in the United States or make arrangements for trading of ADSs on the U.S.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delist our shares from an exchange outside the United States on which they were listed and do not list the shares on another exchange outside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reason to believe the ADSs have become, or will become, ineligible for registration on Form F-6 under the Securities Act of 1933;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appear to be insolvent or enter insolvency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substantially all the value of the deposited securities has been distributed either in cash or in the form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deposited securities underlying the ADSs or the underlying deposited securities have become apparently worthless;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replacement of deposited securities.</w:t>
            </w:r>
          </w:p>
        </w:tc>
      </w:tr>
    </w:tbl>
    <w:p>
      <w:pPr>
        <w:pStyle w:val="TextBody"/>
        <w:bidi w:val="0"/>
        <w:spacing w:before="0" w:after="0"/>
        <w:ind w:left="150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50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benefit of the ADS holders that have not surrendered their ADSs. Normally, the depositary will sell as soon as practicable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after the termination date, the depositary is not required to register any transfer of ADSs or distribute any dividends or other distributions on deposited securities to ADS holders (until they surrender their ADSs) or give any notices or perform any other duties under the deposit agreement except as described in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negligence or bad faith, and the depositary will not be a fiduciary or have any fiduciary duty to holders of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are or it is prevented or delayed by law or by events or circumstances beyond our or its ability to prevent or counteract with reasonable care or effort from performing our or its obligations under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or it exercises discretion permitted under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no obligation to become involved in a lawsuit or other proceeding related to the ADSs or the deposit agreement on your behalf or on behalf of any other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or it believes in good faith to be genuine and to have been signed or presented by the proper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acts or omissions of any securities depository, clearing agency or settlement system;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stock transfer or other taxes or other governmental charges and transfer or registration fees charged by third parties for the transfer of any shares or other deposited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proof of the identity and genuineness of any signature or other information it deems necessary;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temporary delays arise because: (i) the depositary has closed its transfer books or we have closed our transfer books; (ii) the transfer of shares is blocked to permit voting at a shareholders’ meeting; or (iii) we are paying a dividend on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owe money to pay fees, taxes, and similar charges;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necessary to prohibit withdrawals in order to comply with any laws or governmental regulations that apply to ADSs or to the withdrawal of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The waiver continues to apply to claims that arise during the period when a holder holds the ADSs, whether the ADS holder purchased the ADSs in any offering or secondary transactions, even if the ADS holder subsequently withdraws the underlying shares. If we or the depositary oppose a jury trial demand based on the waiver, the court would determine whether the waiver was enforceable based on the facts and circumstances of that case in accordance with applicable case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62" w:name="ex4-15.htm"/>
      <w:bookmarkStart w:id="663" w:name="ksex415"/>
      <w:bookmarkEnd w:id="662"/>
      <w:bookmarkEnd w:id="66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BILLING ROBOT SOFTWARE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Billing Robot Software License Agreement (hereinafter “Agreement”) is a legal agreement entered into between Robot Consulting Co., Ltd. (hereinafter “Party A”) and [Company Name] (hereinafter “Party B”) with respect to Billing Robot (hereinafter “Software”). Party A and Party B enter into this Agreement in connection with Party A granting Party B a license to use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this Agreement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“Service” means Billing Robot and all related services.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“User” means an employee or related party of Party B who is engaged in Party B’s business operations and has been authorized to use the Software.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“Applicant” means a corporation or sole proprietor who applies to use the Software.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“Service Agreement” means the usage agreement for Billing Robot entered into pursuant to this Agreement.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“API Integration Service” means the external service integration functionality realized through the use of the API provided by Party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(License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hereby grants Party B a non-exclusive, non-transferable license to use the Software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pre-register for the free plan of the Software via the registration URL designated by Party A (https://seikyu-robo.jp/register), and one account shall consist of the combination of the ID and password automatically issued at the time of such registration. The switch to the paid plan under this Agreement shall be effected through procedures carried out by Party A at the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may use one account for the Software on multiple devices through Billing Robot’s supported browsers (such as Google Chrome).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Use of the Software is limited to within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license granted under Paragraph 1 of the preceding Article shall be as set forth below. If either party provides written notice to the other party requesting renewal of this Agreement no later than one month prior to the expiration date of the contract term, this Agreement shall be automatically renewed for an additional one-year period on the same terms and conditions as before.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Plan: The contract term for the paid plan of the Software under this Agreement shall, in principle, be one or two years from the date of delivery, and such term shall conform to the contract period determined at the time of the application for the IT Introduction Subsidy.)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(Provision of Registration Information and Notification of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provide accurate and up-to-date information to Party A for the purpose of applying to use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event of any change to the information provided to Party A pursuant to the preceding paragraph, Party B shall promptly notify Party A of the updated information.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(Sublicense)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may not sublicense, lend, or otherwise grant any rights to the Software to any third party other than Party B without the prior written consent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event that Party B sublicenses the Software to a third party with the written consent of Party A, Party B shall impose on such third party obligations equivalent to those under this Agreement, and Party B shall be responsible for such third party’s 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(Prohibition on Use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use the Software solely for the purposes of Party B’s business operations and shall not use it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(Consideration and Payment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pay the license fee for the Software in the amount stated in the invoice separately issued by Party A, by bank transfer to the account designated by Party A by the payment due date stated in such invoice. All bank transfer fees shall be borne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(Ownership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copyrights and other intellectual property rights relating to the Software shall remain vested in Party A. This Agreement shall not transfer any such rights to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(Prohibited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prior written consent of Party A, Party B shall not engage in any of the following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Reproduction, transfer, sale, or re-lending of the Software;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Creation, transfer, or sale of derivative works;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Modification, reverse engineering, or similar acts with respect to the Software;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Removal or concealment of copyright notices; 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Combination of the Software with other software or use of the Software in a modified form.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bear no obligation to provide maintenance with respect to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by Party A, Party B shall report on the status of use of the Software and shall, as necessary, accept an audit by Party A or a party entrusted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(Changes to and Suspension of Service Specifications)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may change, add to, delete, or suspend the specifications, functions, screen layout, or other aspects of the Software without prior notice to Party B where technically or operationally necessary. Party B shall raise no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(API Integration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Party B integrates the Software with an external system via API, Party A does not warrant the operation or accuracy of such integration service. Party B shall bear responsibility for matters relating to such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(Warranty and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is provided “as is,” and Party A makes no warranties of any kind with respect to the Software. Party A shall not be liable for any damages suffered by Party B as a result of Party B’s use of the Software.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(Third-Party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infringement of rights by a third party in relation to the Software comes to light, both parties shall promptly notify each other and shall take appropriate action through good-faith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(Measures upon Termination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expiration of the contract term, Party A shall suspend access to the account issued to Party B, and shall retain the data entered by Party B into such account for a period of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may seek an injunction to prohibit Party B’s use of the Software in the event that Party B breaches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shall maintain in confidence all technical, commercial, and managerial information of the other party obtained through this Agreement and shall not disclose such information to any third party. This obligation shall survive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may terminate this Agreement without prior notice or demand in the event that Party B breaches this Agreement and fails to remedy such breach, or in the event that Party B becomes subject to financial instability, bankruptcy, or similar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that causes damage to the other party due to a reason attributable to such party shall be liable to compensate the other party for such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(Exclusion of Anti-Social Forces)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represent that they have no relationship whatsoever with anti-social forces and warrant that they will not become associated with such forces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this Agreement shall be valid only if made by written agreement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(Prohibition on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may assign or pledge all or any part of its rights or obligations under this Agreement to any third party without the prior written consent of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(Consultation)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matters not provided for in this Agreement shall be resolved by the parties through good-faith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25 (Governing Law and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laws of Japan, and the Tokyo District Court shall be the court of exclusive jurisdiction of first instance for any disputes arising in connection with this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26 (Application of Terms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matters not provided for in this Agreement, or with respect to detailed conditions governing the specific use of the Software, Party B shall comply with the “Billing Robot Terms of Use” separately established by Party A (https://seikyu-robo.jp/terms), and Party B agrees to such Terms of Use as a condition of entering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such Terms of Use and the provisions of this Agreement, the provisions of this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in duplicate, and each party has signed and affixed its seal or printed its name and affixed its seal to its respective copy. This Agreement may also be executed as an electronic contract file with electronic signatures affixed by each party. In such case, the electronic contract file (in electronic data format) shall constitute the original, and any document printed from such file shall constitute a copy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 Robot Consulting Co., Ltd.</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Le Glaciel BLDG. 2-6F, 5-22-6 Shimbashi, Minato-ku, Tokyo</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or Representative Member: 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 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or Representative Member: ___________________________</w:t>
      </w:r>
    </w:p>
    <w:p>
      <w:pPr>
        <w:pStyle w:val="TextBody"/>
        <w:bidi w:val="0"/>
        <w:spacing w:before="0" w:after="0"/>
        <w:ind w:left="3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64" w:name="ex4-16.htm"/>
      <w:bookmarkStart w:id="665" w:name="ksex416"/>
      <w:bookmarkEnd w:id="664"/>
      <w:bookmarkEnd w:id="6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ALLIANCE AGREEMENT (SALES COOPERATION)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Co., Ltd. (“Party A”) and Infcurion Co., Ltd. (“Party B”) hereby enter into this Business Alliance Agreement (this “Agreement”) in connection with Party A and Party B cooperating to promote sales of the service “Winvoice” operated by Party B (the “Service”),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(Content of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and Party B shall cooperate with each other with respect to the sale of the Service.</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introduce the Service to corporations or sole proprietors who may use the Service (“Customers,” which shall include those who have entered into a Winvoice Usage Agreement pursuant to Paragraph 5 below).</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connection with the preceding paragraph, Party A shall not engage in any of the following acts: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Making any representation, warranty, or agreement that binds Party B in dealings with Customers;</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act that impairs the credibility of Party B or the Service;</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Communicating false information; or</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act similar to the foregoing.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provide Party A with brochures and other materials regarding the Service (including the API specifications, if Party A uses the API in performing this Agreement), and Party A shall use such materials solely for the purposes of this Agreement. “API” means the application programming interface relating to the Service, and Party A shall comply with the contents of the API specifications when using the API.</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shall, at its own expense and responsibility, enter into an agreement concerning use of the Service (the “Winvoice Usage Agreement”) with a Customer introduced by Party A.</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shall endeavor to provide the Service in a stable manner.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Agreement shall not prevent Party B from selling the Service independently or through a third party.</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(Treatment of Payment Processing Fees,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Payment processing fees and other related matters shall be as set forth in Exhibit 1.</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event of changes in economic conditions or other circumstances, Party B may, after consultation with Party A, amend the provisions of this Article and Exhibit 1.</w:t>
      </w:r>
    </w:p>
    <w:p>
      <w:pPr>
        <w:pStyle w:val="TextBody"/>
        <w:bidi w:val="0"/>
        <w:spacing w:before="0" w:after="0"/>
        <w:ind w:left="4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(Provision of Customer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Where a Customer uses the Service upon introduction by Party A (including use of the Service via Party A’s website or otherwise), Party B shall provide Party A with the following information for use by Party A for the following purposes: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Purposes for which Party A uses the information</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Improving and enhancing customer acquisition and promotion of use of the Service by Party 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Responding to inquiries from the relevant Customer directed to Party A; 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Introducing and promoting Party A’s products and services to the relevant Customer.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Information to be provided by Party B to Party A</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Customer’s business form, representative’s name, email address, and similar information;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Where the Customer is a buyer, information regarding the goods or other items transacted between the Customer and its supplier, the price thereof, and other information relating to billing and payment under the agreement between the Customer and the supplier, together with electronic invoice files; 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Where the Customer is a supplier, information regarding the goods or other items transacted between the Customer and its buyer, the price thereof, and other information relating to billing and payment under the agreement between the Customer and the buyer, together with electronic invoice files.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Where, among inquiries from Customers, there are matters that should be answered by Party B, Party A shall provide Party B with the following information for use by Party B for the following purposes: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Purposes for which Party B uses the information</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Responding to inquiries that should be answered by Party 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Information to be provided by Party A to Party B</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Content of the inquiry;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Name of the Customer; 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Name, email address, and telephone number of the Customer’s representative.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(Prohibition of Subcontracting)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not subcontract all or any part of its own duties under this Agreement to any third party without the prior written consent of Party B.</w:t>
      </w:r>
    </w:p>
    <w:p>
      <w:pPr>
        <w:pStyle w:val="TextBody"/>
        <w:bidi w:val="0"/>
        <w:spacing w:before="0" w:after="0"/>
        <w:ind w:left="4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(Confidentiality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and Party B shall not, without the other party’s written consent, disclose or leak to any third party any technical, sales, or other business secrets disclosed by the other party in connection with this Agreement, both during the term of this Agreement and after its termination. When disclosing confidential information to the other party, each party shall indicate that such information is confidential; provided, however, that the following information shall be excluded from confidential information:</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Information that was lawfully held without any confidentiality obligation at the time of disclosure by the other party;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Information lawfully obtained without any confidentiality obligation from a third party who has the legitimate authority to disclose it without owing a confidentiality obligation to the other party;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Information independently developed without relying on the confidential information;</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Information that was already publicly known at the time of disclosure by the other party, or that became publicly known without breach of this Agreement; and</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Information disclosed by the other party to a third party without imposing a confidentiality obligation.</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provisions of this Article shall survive for three (3) years after termination of this Agreement.</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(Term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of this Agreement with respect to the business hereunder shall be two (2) years from the date of execution.</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Unless either party gives written notice of non-renewal of this Agreement no later than six (6) months prior to expiration of the term, this Agreement shall be renewed for one (1) additional year on the same terms and conditions, and thereafter in the same manner.</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may terminate this Agreement, effective as of the date designated for termination (the “Designated Termination Date”), by giving notice to Party B no later than six (6) months prior to the Designated Termination Date.</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case of the preceding paragraph, Party A shall pay to Party B, by the Designated Termination Date, the contract amount corresponding to the remaining term of the Agreement. The “contract amount” referred to in this paragraph means the total of the following:</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 obtained by multiplying the minimum payment amount by the remaining contract term.</w:t>
      </w:r>
    </w:p>
    <w:p>
      <w:pPr>
        <w:pStyle w:val="TextBody"/>
        <w:bidi w:val="0"/>
        <w:spacing w:before="0" w:after="0"/>
        <w:ind w:left="9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(Termination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A or Party B falls under any of the following items, the other party may terminate all or part of this Agreement immediately without any notice or demand:</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Where a petition for bankruptcy, corporate reorganization, civil rehabilitation, or other insolvency proceedings (including any such proceedings amended or enacted after execution of this Agreement) is filed against, or is filed by, such party;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Where such party suspends payments, or is subject to a disposition of suspension of transactions by a clearing house, or to a disposition of suspension of transactions or an equivalent measure by an electronic monetary claim recording institution;</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Where a petition for provisional attachment, attachment, provisional disposition, or compulsory auction is filed against such party;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Where such party is dissolved, or attempts to transfer all or a material part of its business; or</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Where such party fails to perform its obligations under this Agreement and, despite a demand for performance within a reasonable period, fails to perform within such period.</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A or Party B falls under any item of Paragraph 1 above, such party shall automatically lose the benefit of time with respect to all monetary obligations owed to the other party, and shall immediately pay such obligations to the other party.</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(Treatment of the Winvoice Usage Agreement upon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Regardless of the reason, if this Agreement is terminated or is likely to be terminated, Party A and Party B shall, together with the relevant Customer, consult and determine whether to continue the Winvoice Usage Agreement and other necessary matters.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(Handling of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A has received materials relating to the Service from Party B, Party A shall promptly return or destroy such materials upon termination of this Agreement.</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(Elimination of Anti-Social Forces)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and Party B each represent and warrant that neither itself, nor its parent company, subsidiaries, or affiliated companies (including officers or other persons having substantial control over such companies; the same shall apply in this Article) has been, is currently, or will in the future be, an organized crime group, a member of an organized crime group, a quasi-member of an organized crime group, a company related to an organized crime group, a corporate racketeer, a group advocating social movements or engaging in special intelligence violence, or any other person equivalent thereto (collectively, “Anti-Social Forces”), and further represents that it does not, and will not in the future, fall under any of the following items: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Having a relationship in which Anti-Social Forces are found to control its management;</w:t>
      </w:r>
    </w:p>
    <w:p>
      <w:pPr>
        <w:pStyle w:val="TextBody"/>
        <w:bidi w:val="0"/>
        <w:spacing w:before="0" w:after="0"/>
        <w:ind w:left="9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Having a relationship in which Anti-Social Forces are found to be substantially involved in its management;</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Having a relationship in which it is found to improperly use Anti-Social Forces, such as for the purpose of securing wrongful profit for itself or a third party, or of causing damage to a third party;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Having a relationship in which it is found to be involved in providing funds or other benefits to Anti-Social Forces; or</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Having an officer or a person substantially involved in management who has a socially reprehensible relationship with Anti-Social Forces.</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and Party B each represent that neither itself, nor its parent company, subsidiaries, or affiliated companies, will engage, whether by itself or through a third party, in any of the following acts: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Violent demands;</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Unreasonable demands exceeding legal liability;</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Threatening speech or conduct, or the use of violence, in connection with transactions;</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Spreading rumors, using deceptive means, or using force to damage the credit of, or interfere with the business of, the other party; or</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act similar to the foregoing.</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either party breaches Paragraph 1 or 2 above, the other party may terminate all or part of this Agreement without any notice or demand.</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either party breaches Paragraph 1 or 2 above, such party shall automatically lose the benefit of time with respect to all monetary obligations owed to the other party, and shall immediately pay such obligations to the other party.</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Neither party shall be liable for any damages incurred by the breaching party as a result of termination pursuant to Paragraph 3 above.</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non-breaching party may claim damages from the breaching party for any damages incurred by the non-breaching party arising from termination pursuant to Paragraph 3 above.</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(Prohibition of Assignment of Rights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Neither Party A nor Party B shall, without the other party’s prior written consent, transfer its status under this Agreement to any third party, or assign, cause a third party to assume, or provide as security, all or part of the rights and obligations arising from this Agreement.</w:t>
      </w:r>
    </w:p>
    <w:p>
      <w:pPr>
        <w:pStyle w:val="TextBody"/>
        <w:bidi w:val="0"/>
        <w:spacing w:before="0" w:after="0"/>
        <w:ind w:left="4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(Governing Law and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Agreement shall be governed by the laws of Japan, and the Tokyo District Court shall have exclusive jurisdiction as the court of first instance.</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(Consultation)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matters not provided for in this Agreement, or any questions arising in connection with the performance of this Agreement, shall be resolved amicably through good-faith consultation between Party A and Party B.</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two (2) originals of this Agreement have been prepared, and Party A and Party B shall each affix their names and seals thereto and retain one (1) original each. However, where this Agreement is executed electronically, an electromagnetic record of this Agreement shall be prepared, and after Party A and Party B have reached agreement, each party shall affix its electronic signature and retain its own electromagnetic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11,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5-22-6 Shimbashi, Minato-ku, Tokyo</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Glaciel BLDG. 2-6</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Co., Ltd.</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 Representative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MFPR Kojimachi Building 7F, 5-7-2 Kojimachi, Chiyoda-ku, Tokyo</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Infcurion Co., Ltd.</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Koki Maruyama, Representative Director</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used in this Exhibit 1 are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“Invoice Amount” means the price of goods or other items in a transaction between a Customer (a buyer or a supplier) introduced by Party A to Party B and its counterparty (the supplier, where the Customer is a buyer; or the buyer, where the Customer is a supplier).</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“Service Usage Fee” means the amount calculated by the following formula:</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Invoice Amount per invoice × Rate determined by Party A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“Transaction Volume” means either of the following:</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Where the Customer is a buyer: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 payment amount for which the relevant Customer used the Service, calculated by the following formula:</w:t>
      </w:r>
    </w:p>
    <w:p>
      <w:pPr>
        <w:pStyle w:val="TextBody"/>
        <w:bidi w:val="0"/>
        <w:spacing w:before="0" w:after="0"/>
        <w:ind w:left="192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Invoice Amount + Service Usage Fee ]</w:t>
      </w:r>
    </w:p>
    <w:p>
      <w:pPr>
        <w:pStyle w:val="TextBody"/>
        <w:bidi w:val="0"/>
        <w:spacing w:before="0" w:after="0"/>
        <w:ind w:left="192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Where the Customer is a supplier: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 payment amount for which the buyer that is the Customer’s counterparty used the Service, which shall be the same amount as the Invoice Amount.</w:t>
      </w:r>
    </w:p>
    <w:p>
      <w:pPr>
        <w:pStyle w:val="TextBody"/>
        <w:bidi w:val="0"/>
        <w:spacing w:before="0" w:after="0"/>
        <w:ind w:left="19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“Payment Processing Fee” means the amount calculated by the following formula (provided that if the calculated amount is less than JPY 300, it shall be JPY 300):</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Volume per transaction × 0.8%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“Merchant Fee” means the amount payable by Party B to its acquirer, calculated by whichever of the following formulas applies:</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Visa Transaction Volume × 1.00%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Mastercard Transaction Volume × 1.00%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JCB Transaction Volume × 1.10%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and Party B shall confirm the following matters each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total Transaction Volume for the relevant month;</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total Payment Processing Fees for the relevant month;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total Merchant Fees for the relevant month;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total Invoice Amount for the relevant month.</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pay to Party A, by the last day of the following month, the amount calculated by the following formula, together with the consumption tax and other applicable taxes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Amount under Paragraph 2, Item (1) – Amount under Paragraph 2, Item (2) – Amount under Paragraph 2, Item (3) – Amount under Paragraph 2, Item (4) ]</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with respect to the portion of the amount under Paragraph 2, Item (4) relating to Customers that are suppliers, such amount shall be calculated by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Invoice Amount – Service Usage Fee ]</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Bank transfer fees shall be borne by the party making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66" w:name="ex4-17.htm"/>
      <w:bookmarkStart w:id="667" w:name="ksex417"/>
      <w:bookmarkEnd w:id="666"/>
      <w:bookmarkEnd w:id="6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MANAGEMENT SERVICE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entered into on this [12]nd day of [May], 2025 (“Effective Date”) between Robot Consulting Co., Ltd. with its principal place of business at 6th Floor Le Gratteciel Building 2, 5-22-6 Shimbashi, Minato Ward, Tokyo 105-0004 (“Company”) and FunKen Vision Advertising (Hong Kong) Limited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Company intends to grow its business and Counterparty has experience in corporate development and has established a strong network of industry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Company desires to have services provided by Counterparty and Counterparty desires to provide such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undertakings set forth below and for other good and valuable consideration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Counterparty shall provide to Company as an independent contractor the following services: (i) at Company’s request, participate in Company’s business and management meetings and contribute to Company’s business plans; (ii) assisting Company in corporate development by introducing customers or strategic partners to Company to drive business growth; and (iii) any other business consultancy services as mutually agreed between Company and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Independent Contractor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Counterparty’s relationship with Company is that of an independent contractor and nothing in this Agreement shall be construed as creating a partnership, joint venture, or employer-employee relationship. Counterparty will not be entitled to any of the benefits, which Company may make available to its employees, including, but not limited to: workers’ compensation insurance, unemployment insurance, disability insurance, medical insurance, dental insurance, retirement plans, stock option plans, stock purchase plans, vacation pay, and sick pay. The exclusion from benefit programs is a material component of the terms of compensation negotiated and is not premised on Counterparty’s status as a non-employee. To the extent that Counterparty may become eligible for any benefit programs maintained by Company (regardless of the timing of or reason for eligibility), Counterparty waives their right to participate in the programs. This waiver is not conditioned on any representation or assumption concerning Counterparty’s status as an independent contractor. Counterparty also agrees that, consistent with their independent contractor status, they will not apply for any government-sponsored benefits that are intended to apply to employees, including, but not limited to, unemployment benefits. In addition, Counterparty agrees, covenants, and represents that, even if their relationship with Company under this Agreement were to be later reclassified, through any means, from the relationship of independent contractor to that of employer-employee, Counterparty nevertheless will not be entitled to participate in any benefits of employment that Company may from time to time provide to its employees.</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Counterparty shall be solely responsible for complying with all applicable laws governing self-employed individuals, including but not limited to obligations such as payment of taxes, social security, disability, and other contributions attributable to the rendition of Services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shall be responsible for determining the amount of time, methods, equipment, resources, and techniques necessary to complete the Services or any other work requested by Company or a client pursuant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Term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Company engages Counterparty, and Counterparty accepts such engagement as an independent subcontractor to Company, pursuant to this Agreement for a period of 12 months. This Agreement may be terminated upon mutual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the Services, Company agrees to pay the Counterparty a final payment of US$2,150,000 within 7 days from the date of this Agreement. In the course of providing services to Company, Counterparty shall bear its own expenses and the Company shall not be responsible for any out of pocket costs or disbursements.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collection account is designated below:</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475"/>
        <w:gridCol w:w="4070"/>
      </w:tblGrid>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FunKen Vision Advertising (Hong Kong) Limited</w:t>
            </w:r>
          </w:p>
        </w:tc>
      </w:tr>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CMB Wing Lung Bank Limited</w:t>
            </w:r>
          </w:p>
        </w:tc>
      </w:tr>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Number:</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r>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SWIFT Code:</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WUBAHKHH</w:t>
            </w:r>
          </w:p>
        </w:tc>
      </w:tr>
      <w:tr>
        <w:trPr/>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Address:</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Des Voeux Road, Central, Hong Kong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constitutes the entire understanding between the Parties and supersedes any and all prior or contemporaneous understandings and agreements, whether oral or written, between the Parties, with respect to the subject matter hereof. This Agreement can only be modified by a written amendment signed by the Party against whom enforcement of such modification is sought.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validity, construction, and performance of this Agreement shall be governed and construed in accordance with the laws of Japan and the parties hereby submit to the exclusive jurisdiction of the Japan Commercial Arbitration Association (JCAA).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failure by either Party to enforce the other Party’s strict performance of any provision of this Agreement will not constitute a waiver of its right to subsequently enforce such provision or any other provision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Although the restrictions contained in this Agreement are considered by the Parties to be reasonable, if any such restriction is found by a court of competent jurisdiction to be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the Agreement will be enforced as if such provision was not included.</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notices or communications required or permitted to be given hereunder may be delivered by hand, deposited with a nationally recognized overnight carrier, electronic-mail, or mailed by certified mail, return receipt requested, postage prepaid, in each case, to the address of the other Party first indicated above (or such other address as may be furnished by a Party in accordance with this paragraph). All such notices or communications shall be deemed to have been given and received (i) in the case of personal delivery or electronic-mail, on the date of such delivery, (ii) in the case of delivery by a nationally recognized overnight carrier, on the third business day following dispatch, and (iii) in the case of mailing, on the seventh business day following such mailing.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Party may directly or indirectly assign or transfer this Agreement by operation of law or otherwise without the prior written consent of the other Party, which consent will not be unreasonably withheld. All obligations contained in this Agreement shall extend to and be binding upon the Parties to this Agreement and their respective successors, assigns and designees.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Paragraph headings used in this Agreement are for reference only and shall not be used or relied upon in the interpretation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provisions of this Section 5 shall survive the expiration or termination of this Agreement for any reason.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counterparts, each of which shall be deemed an original, but all of which together shall constitute the same instrument. The parties hereto may deliver this Agreement and the other documents required to consummate the transactions contemplated hereby by facsimile or in .pdf format sent by email and each party shall be permitted to rely upon the signatures so transmitted as original signatures.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is prepared in Chinese and English, and the Chinese version shall prevail in case of any conflict. This agreement shall come into effect after being signed by the parties. This agreement is made in duplicate, with each party holding one copy.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set forth above.</w:t>
      </w:r>
    </w:p>
    <w:p>
      <w:pPr>
        <w:pStyle w:val="TextBody"/>
        <w:bidi w:val="0"/>
        <w:spacing w:before="0" w:after="0"/>
        <w:ind w:left="0" w:right="0" w:hanging="0"/>
        <w:jc w:val="both"/>
        <w:rPr>
          <w:caps w:val="false"/>
          <w:smallCaps w:val="false"/>
        </w:rPr>
      </w:pPr>
      <w:r>
        <w:rPr>
          <w:caps w:val="false"/>
          <w:smallCaps w:val="false"/>
        </w:rPr>
        <w:t> </w:t>
      </w:r>
    </w:p>
    <w:tbl>
      <w:tblPr>
        <w:tblW w:w="10085" w:type="dxa"/>
        <w:jc w:val="left"/>
        <w:tblInd w:w="0" w:type="dxa"/>
        <w:tblLayout w:type="fixed"/>
        <w:tblCellMar>
          <w:top w:w="0" w:type="dxa"/>
          <w:left w:w="0" w:type="dxa"/>
          <w:bottom w:w="0" w:type="dxa"/>
          <w:right w:w="0" w:type="dxa"/>
        </w:tblCellMar>
      </w:tblPr>
      <w:tblGrid>
        <w:gridCol w:w="590"/>
        <w:gridCol w:w="4475"/>
        <w:gridCol w:w="60"/>
        <w:gridCol w:w="575"/>
        <w:gridCol w:w="4385"/>
      </w:tblGrid>
      <w:tr>
        <w:trPr/>
        <w:tc>
          <w:tcPr>
            <w:tcW w:w="50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w:t>
              <w:br/>
              <w:t>ROBOT CONSULTING CO., LTD.</w:t>
            </w:r>
          </w:p>
        </w:tc>
        <w:tc>
          <w:tcPr>
            <w:tcW w:w="60" w:type="dxa"/>
            <w:tcBorders/>
            <w:vAlign w:val="center"/>
          </w:tcPr>
          <w:p>
            <w:pPr>
              <w:pStyle w:val="TableContents"/>
              <w:bidi w:val="0"/>
              <w:spacing w:before="0" w:after="283"/>
              <w:jc w:val="left"/>
              <w:rPr/>
            </w:pPr>
            <w:r>
              <w:rPr/>
              <w:t> </w:t>
            </w:r>
          </w:p>
        </w:tc>
        <w:tc>
          <w:tcPr>
            <w:tcW w:w="49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w:t>
              <w:br/>
              <w:t>FUNKEN VISION ADVERTISING (HONG KONG) LIMITED</w:t>
            </w:r>
          </w:p>
        </w:tc>
      </w:tr>
      <w:tr>
        <w:trPr/>
        <w:tc>
          <w:tcPr>
            <w:tcW w:w="59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left"/>
              <w:rPr/>
            </w:pPr>
            <w:r>
              <w:rPr/>
              <w:t>By:</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__________[Seal]____________________________</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By:</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__________[Seal]___________________________</w:t>
            </w:r>
          </w:p>
        </w:tc>
      </w:tr>
      <w:tr>
        <w:trPr/>
        <w:tc>
          <w:tcPr>
            <w:tcW w:w="59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left"/>
              <w:rPr/>
            </w:pPr>
            <w:r>
              <w:rPr/>
              <w:t>Title: </w:t>
            </w:r>
          </w:p>
        </w:tc>
        <w:tc>
          <w:tcPr>
            <w:tcW w:w="44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Title: </w:t>
            </w:r>
          </w:p>
        </w:tc>
        <w:tc>
          <w:tcPr>
            <w:tcW w:w="438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668" w:name="ex4-18.htm"/>
      <w:bookmarkStart w:id="669" w:name="ksex418"/>
      <w:bookmarkEnd w:id="668"/>
      <w:bookmarkEnd w:id="669"/>
      <w:r>
        <w:rPr/>
        <w:t> </w:t>
      </w:r>
      <w:r>
        <w:br w:type="page"/>
      </w:r>
    </w:p>
    <w:p>
      <w:pPr>
        <w:pStyle w:val="TextBody"/>
        <w:bidi w:val="0"/>
        <w:jc w:val="right"/>
        <w:rPr>
          <w:b/>
        </w:rPr>
      </w:pPr>
      <w:r>
        <w:rPr>
          <w:b/>
        </w:rPr>
        <w:t>Exhibit 4.18</w:t>
      </w:r>
    </w:p>
    <w:p>
      <w:pPr>
        <w:pStyle w:val="TextBody"/>
        <w:bidi w:val="0"/>
        <w:jc w:val="center"/>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FACILITATOR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this [19] day of [May]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Robot Consulting Co., Ltd., with its registered in Japan (the “Company”); and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FunKen Vision Advertising (Hong Kong) Limited, with its registered in Hong Kong (the “Facilitator”).</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 “Party” and collectively the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considering various strategic alternatives, which include purchasing the business or acquisitions with respect to certain assets, businesses and operations that will entail acquisition of their respective substantial shareholdings or assets (any such transaction or transactions, collectively referred to as the “Transaction”).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decided to enter into this Agreement in pursuance of the foregoing, on the terms and conditions set out below.</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AGREED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SERVICES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engagement, the Facilitator will carry out the following (the “Services”) for the Company:</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identifying, contacting and negotiating with, on behalf of the Company, the potential company/seller or the counterparties in the Transaction;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co-ordinating the Company’s other professional advisers (if any) and arranging and attending meetings as necessary;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working with the Company’s other professional advisers (if any), advising on structure and timing of the Transaction;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assisting the Company in the evaluation of offers, term sheets or proposals from the potential company/seller or the counterparties in the Transaction;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advising and assisting, as requested, with negotiating the terms of the Transaction with the relevant counterparties;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assisting and managing the workstreams, along with the Company’s internal working team, of the Transaction leading to completions, on best effort basis; and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providing such other work and assistance as the Parties shall agree in writing.</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 and accept that: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Facilitator is not advising the Company or any other person or entity as to any financial, legal, tax, investment, accounting or regulatory matters in any jurisdiction, this is the role of the professionals;</w:t>
      </w:r>
    </w:p>
    <w:p>
      <w:pPr>
        <w:pStyle w:val="TextBody"/>
        <w:bidi w:val="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representation or warranty given by the Facilitator in relation to the merits of the condition, financial or otherwise, and credibility of any of the parties whom the Facilitator may introduce to the Company; and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Facilitator is not undertaking the placement of any share or unit in any entity.</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Services to be provided hereunder, the Company shall pay to the Facilitator fees, payable as follows: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US$1,500,000 within 5 days from the date of this Agreement, to the Facilitator collection account designated below:</w:t>
      </w:r>
    </w:p>
    <w:p>
      <w:pPr>
        <w:pStyle w:val="TextBody"/>
        <w:bidi w:val="0"/>
        <w:ind w:left="72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475"/>
        <w:gridCol w:w="4070"/>
      </w:tblGrid>
      <w:tr>
        <w:trPr/>
        <w:tc>
          <w:tcPr>
            <w:tcW w:w="1475" w:type="dxa"/>
            <w:tcBorders/>
            <w:vAlign w:val="center"/>
          </w:tcPr>
          <w:p>
            <w:pPr>
              <w:pStyle w:val="TableContents"/>
              <w:bidi w:val="0"/>
              <w:spacing w:before="0" w:after="283"/>
              <w:jc w:val="both"/>
              <w:rPr>
                <w:sz w:val="20"/>
              </w:rPr>
            </w:pPr>
            <w:r>
              <w:rPr>
                <w:sz w:val="20"/>
              </w:rPr>
              <w:t>Name:</w:t>
            </w:r>
          </w:p>
        </w:tc>
        <w:tc>
          <w:tcPr>
            <w:tcW w:w="4070" w:type="dxa"/>
            <w:tcBorders/>
            <w:vAlign w:val="center"/>
          </w:tcPr>
          <w:p>
            <w:pPr>
              <w:pStyle w:val="TableContents"/>
              <w:bidi w:val="0"/>
              <w:spacing w:before="0" w:after="283"/>
              <w:jc w:val="both"/>
              <w:rPr>
                <w:sz w:val="20"/>
              </w:rPr>
            </w:pPr>
            <w:r>
              <w:rPr>
                <w:sz w:val="20"/>
              </w:rPr>
              <w:t>FunKen Vision Advertising (Hong Kong) Limited</w:t>
            </w:r>
          </w:p>
        </w:tc>
      </w:tr>
      <w:tr>
        <w:trPr/>
        <w:tc>
          <w:tcPr>
            <w:tcW w:w="1475" w:type="dxa"/>
            <w:tcBorders/>
            <w:vAlign w:val="center"/>
          </w:tcPr>
          <w:p>
            <w:pPr>
              <w:pStyle w:val="TableContents"/>
              <w:bidi w:val="0"/>
              <w:spacing w:before="0" w:after="283"/>
              <w:jc w:val="both"/>
              <w:rPr>
                <w:sz w:val="20"/>
              </w:rPr>
            </w:pPr>
            <w:r>
              <w:rPr>
                <w:sz w:val="20"/>
              </w:rPr>
              <w:t>Account Number:</w:t>
            </w:r>
          </w:p>
        </w:tc>
        <w:tc>
          <w:tcPr>
            <w:tcW w:w="4070" w:type="dxa"/>
            <w:tcBorders/>
            <w:vAlign w:val="center"/>
          </w:tcPr>
          <w:p>
            <w:pPr>
              <w:pStyle w:val="TableContents"/>
              <w:bidi w:val="0"/>
              <w:spacing w:before="0" w:after="283"/>
              <w:jc w:val="both"/>
              <w:rPr>
                <w:sz w:val="20"/>
              </w:rPr>
            </w:pPr>
            <w:r>
              <w:rPr>
                <w:sz w:val="20"/>
              </w:rPr>
              <w:t>[****]</w:t>
            </w:r>
          </w:p>
        </w:tc>
      </w:tr>
      <w:tr>
        <w:trPr/>
        <w:tc>
          <w:tcPr>
            <w:tcW w:w="1475" w:type="dxa"/>
            <w:tcBorders/>
            <w:vAlign w:val="center"/>
          </w:tcPr>
          <w:p>
            <w:pPr>
              <w:pStyle w:val="TableContents"/>
              <w:bidi w:val="0"/>
              <w:spacing w:before="0" w:after="283"/>
              <w:jc w:val="both"/>
              <w:rPr>
                <w:sz w:val="20"/>
              </w:rPr>
            </w:pPr>
            <w:r>
              <w:rPr>
                <w:sz w:val="20"/>
              </w:rPr>
              <w:t>Bank:</w:t>
            </w:r>
          </w:p>
        </w:tc>
        <w:tc>
          <w:tcPr>
            <w:tcW w:w="4070" w:type="dxa"/>
            <w:tcBorders/>
            <w:vAlign w:val="center"/>
          </w:tcPr>
          <w:p>
            <w:pPr>
              <w:pStyle w:val="TableContents"/>
              <w:bidi w:val="0"/>
              <w:spacing w:before="0" w:after="283"/>
              <w:jc w:val="both"/>
              <w:rPr>
                <w:sz w:val="20"/>
              </w:rPr>
            </w:pPr>
            <w:r>
              <w:rPr>
                <w:sz w:val="20"/>
              </w:rPr>
              <w:t>CMB Wing Lung Bank Limited</w:t>
            </w:r>
          </w:p>
        </w:tc>
      </w:tr>
      <w:tr>
        <w:trPr/>
        <w:tc>
          <w:tcPr>
            <w:tcW w:w="1475" w:type="dxa"/>
            <w:tcBorders/>
            <w:vAlign w:val="center"/>
          </w:tcPr>
          <w:p>
            <w:pPr>
              <w:pStyle w:val="TableContents"/>
              <w:bidi w:val="0"/>
              <w:spacing w:before="0" w:after="283"/>
              <w:jc w:val="both"/>
              <w:rPr>
                <w:sz w:val="20"/>
              </w:rPr>
            </w:pPr>
            <w:r>
              <w:rPr>
                <w:sz w:val="20"/>
              </w:rPr>
              <w:t>Bank Number:</w:t>
            </w:r>
          </w:p>
        </w:tc>
        <w:tc>
          <w:tcPr>
            <w:tcW w:w="4070" w:type="dxa"/>
            <w:tcBorders/>
            <w:vAlign w:val="center"/>
          </w:tcPr>
          <w:p>
            <w:pPr>
              <w:pStyle w:val="TableContents"/>
              <w:bidi w:val="0"/>
              <w:spacing w:before="0" w:after="283"/>
              <w:jc w:val="both"/>
              <w:rPr>
                <w:sz w:val="20"/>
              </w:rPr>
            </w:pPr>
            <w:r>
              <w:rPr>
                <w:sz w:val="20"/>
              </w:rPr>
              <w:t>020</w:t>
            </w:r>
          </w:p>
        </w:tc>
      </w:tr>
      <w:tr>
        <w:trPr/>
        <w:tc>
          <w:tcPr>
            <w:tcW w:w="1475" w:type="dxa"/>
            <w:tcBorders/>
            <w:vAlign w:val="center"/>
          </w:tcPr>
          <w:p>
            <w:pPr>
              <w:pStyle w:val="TableContents"/>
              <w:bidi w:val="0"/>
              <w:spacing w:before="0" w:after="283"/>
              <w:jc w:val="both"/>
              <w:rPr>
                <w:sz w:val="20"/>
              </w:rPr>
            </w:pPr>
            <w:r>
              <w:rPr>
                <w:sz w:val="20"/>
              </w:rPr>
              <w:t>SWIFT Code:</w:t>
            </w:r>
          </w:p>
        </w:tc>
        <w:tc>
          <w:tcPr>
            <w:tcW w:w="4070" w:type="dxa"/>
            <w:tcBorders/>
            <w:vAlign w:val="center"/>
          </w:tcPr>
          <w:p>
            <w:pPr>
              <w:pStyle w:val="TableContents"/>
              <w:bidi w:val="0"/>
              <w:spacing w:before="0" w:after="283"/>
              <w:jc w:val="both"/>
              <w:rPr>
                <w:sz w:val="20"/>
              </w:rPr>
            </w:pPr>
            <w:r>
              <w:rPr>
                <w:sz w:val="20"/>
              </w:rPr>
              <w:t>WUBAHKHH</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responsible for any other payments, contingent or otherwise, to the Facilitator. Further, the Facilitator shall be responsible for all of its expenses and costs, including travel and professional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EXPIRY OF ENGAGEMENT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Facilitator’s appointment will commence upon the signing of this engagement letter and shall be for an initial period of 12 months from the date hereof, unless extended with mutual written agreement. For the term of this engagement, the Company shall be entitled to receive Services from the Facilitator for an unlimited number of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CONFIDENTIAL UNDERTAKING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Facilitator acknowledge that in the course of this engagement, information of a confidential nature may be disclosed to the Facilitator.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Facilitator shall keep confidential and shall not disclose to any third party, without prior consent, any information (in whatever media, electronic or otherwise) relating to the engagement, the results and products of the engagement (which is hereby acknowledged to be proprietary to the Company), or otherwise relating in any manner to the businesses and affairs of the Company, its directors or shareholders as may be received by the Facilitator (“Confidential Information”) and to use such information for the sole purpose of this engagement. “Confidential Information” shall not include information which the Facilitator can establish:</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entered or that subsequently enters the public domain without Facilitator’s breach of any obligation owed to the Company;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become known to the Facilitator prior to the disclosure by the Company of such information to the Facilitator;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become known to the Facilitator from another source other than by reason of a breach of any obligation owed to the Company;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independently developed by the Facilitator without reference to the Confidential Information; or</w:t>
      </w:r>
    </w:p>
    <w:p>
      <w:pPr>
        <w:pStyle w:val="TextBody"/>
        <w:bidi w:val="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required to be disclosed pursuant to any applicable legal requirement or legal process issued by any court or any competent government authority or rules or regulations of any relevant regulatory body (including, without limitation, any relevant securities exchange).</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Facilitator must both ensure that they do not name the other party in any announcements without the other party’s permission and each party must ensure that all announcements and documents published or statements made by it or on its behalf during the term of this engagement will only be made or published after consultation and consent of the other party (such consent not to be unreasonably withheld or delayed) and will be true and accurate and not misleading and, where appropriate, will contain all information and expressions of opinion necessary for legal or regulatory purposes and all such opinions will be honestly held, and supported by a reasonable basis and given after true and careful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UNDERTAKINGS AND WARRANTIES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 to provide the Facilitator with all information and materials which may be reasonably necessary for the Facilitator to provide its services under this engagement letter and/or as requested by the Facilitator from time to time. The Company hereby represent and warrant to the Facilitator that all information and materials prepared by the Company are and will be correct and accurate in all respects and do not and will not contain any untrue or misleading statement of fact or willingly omit to state any material fact necessary to make the statements made therein not false or misleading in light of the circumstances under which such statements are made. The Company further undertake not to, without the Facilitator’s written consent, have any direct or indirect dealings or transactions with any person or party whom the Facilitator may introduce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CONTRACTS (RIGHTS OF THIRD PARTIES) ORDINANCE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to this engagement letter has no right under the Contracts (Rights of Third Parties) Ordinance (CAP 623) to enforce any of the terms in this engagement letter.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GOVERNING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arising from the acceptance of this engagement letter shall be governed by and construed in accordance with the laws of Japan and the parties hereby submit to the exclusive jurisdiction of the Japan Commercial Arbitration Association (JCAA).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MISCELLANEOUS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Agency.</w:t>
      </w:r>
      <w:r>
        <w:rPr>
          <w:rFonts w:ascii="Times New Roman;Times;Serif" w:hAnsi="Times New Roman;Times;Serif"/>
          <w:b w:val="false"/>
          <w:i w:val="false"/>
          <w:caps w:val="false"/>
          <w:smallCaps w:val="false"/>
          <w:sz w:val="20"/>
        </w:rPr>
        <w:t xml:space="preserve"> The Facilitator will not act as or hold themselves the agent of the Company in connection with the engagement. The Facilitator will not be represented as being an agent with any authority, to bind the Company, except with specific matters expressly defined in writing by the Company. The Company and the Facilitator acknowledge and agree that the existence of the engagement or the performance of their duties under this engagement letter or services provided by the Facilitator to the Company will not represent or imply any fiduciary duty or any other relationship giving rise to specific rights and obligations, except those contractual rights expressly stated in this engagement letter.</w:t>
      </w:r>
    </w:p>
    <w:p>
      <w:pPr>
        <w:pStyle w:val="TextBody"/>
        <w:bidi w:val="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Conflict of Interest.</w:t>
      </w:r>
      <w:r>
        <w:rPr>
          <w:rFonts w:ascii="Times New Roman;Times;Serif" w:hAnsi="Times New Roman;Times;Serif"/>
          <w:b w:val="false"/>
          <w:i w:val="false"/>
          <w:caps w:val="false"/>
          <w:smallCaps w:val="false"/>
          <w:sz w:val="20"/>
        </w:rPr>
        <w:t xml:space="preserve"> The Facilitator is not aware of any conflict of interest that would preclude the Facilitator from accepting this engagement or performing its obligations under this engagement.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xml:space="preserve"> Any waiver of a breach of any term of this engagement letter will not be a waiver of any other breach of that term or any other term. No waiver will be effective unless it is in writing.</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Entire Agreement and Amendment.</w:t>
      </w:r>
      <w:r>
        <w:rPr>
          <w:rFonts w:ascii="Times New Roman;Times;Serif" w:hAnsi="Times New Roman;Times;Serif"/>
          <w:b w:val="false"/>
          <w:i w:val="false"/>
          <w:caps w:val="false"/>
          <w:smallCaps w:val="false"/>
          <w:sz w:val="20"/>
        </w:rPr>
        <w:t xml:space="preserve"> This engagement letter sets out the entire agreement between the Company and the Facilitator concerning all matters dealt by it. Except as stated in this engagement letter, the terms of this engagement letter may only be amended in writing, signed by the parties.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Language.</w:t>
      </w:r>
      <w:r>
        <w:rPr>
          <w:rFonts w:ascii="Times New Roman;Times;Serif" w:hAnsi="Times New Roman;Times;Serif"/>
          <w:b w:val="false"/>
          <w:i w:val="false"/>
          <w:caps w:val="false"/>
          <w:smallCaps w:val="false"/>
          <w:sz w:val="20"/>
        </w:rPr>
        <w:t xml:space="preserve"> This agreement is prepared in Chinese and English, and the Chinese version shall prevail in case of any conflict. This agreement shall come into effect after being signed by the parties. This agreement is made in duplicate, with each party holding one copy.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Neither the Company or the Facilitator may assign any of their obligations and rights under this engagement letter unless mutually agreed in writing.</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executed by the parties on the date first above written.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3619"/>
        <w:gridCol w:w="60"/>
        <w:gridCol w:w="1041"/>
        <w:gridCol w:w="4430"/>
      </w:tblGrid>
      <w:tr>
        <w:trPr/>
        <w:tc>
          <w:tcPr>
            <w:tcW w:w="4674" w:type="dxa"/>
            <w:gridSpan w:val="2"/>
            <w:tcBorders/>
            <w:vAlign w:val="center"/>
          </w:tcPr>
          <w:p>
            <w:pPr>
              <w:pStyle w:val="TableContents"/>
              <w:bidi w:val="0"/>
              <w:spacing w:before="0" w:after="283"/>
              <w:jc w:val="left"/>
              <w:rPr>
                <w:sz w:val="20"/>
              </w:rPr>
            </w:pPr>
            <w:r>
              <w:rPr>
                <w:sz w:val="20"/>
              </w:rPr>
              <w:t>For and on behalf of</w:t>
              <w:br/>
              <w:t>Robot Consulting Co., Ltd.</w:t>
            </w:r>
          </w:p>
        </w:tc>
        <w:tc>
          <w:tcPr>
            <w:tcW w:w="60" w:type="dxa"/>
            <w:tcBorders/>
            <w:vAlign w:val="center"/>
          </w:tcPr>
          <w:p>
            <w:pPr>
              <w:pStyle w:val="TableContents"/>
              <w:bidi w:val="0"/>
              <w:spacing w:before="0" w:after="283"/>
              <w:jc w:val="left"/>
              <w:rPr/>
            </w:pPr>
            <w:r>
              <w:rPr/>
              <w:t> </w:t>
            </w:r>
          </w:p>
        </w:tc>
        <w:tc>
          <w:tcPr>
            <w:tcW w:w="5471" w:type="dxa"/>
            <w:gridSpan w:val="2"/>
            <w:tcBorders/>
            <w:vAlign w:val="center"/>
          </w:tcPr>
          <w:p>
            <w:pPr>
              <w:pStyle w:val="TableContents"/>
              <w:bidi w:val="0"/>
              <w:spacing w:before="0" w:after="283"/>
              <w:jc w:val="left"/>
              <w:rPr>
                <w:sz w:val="20"/>
              </w:rPr>
            </w:pPr>
            <w:r>
              <w:rPr>
                <w:sz w:val="20"/>
              </w:rPr>
              <w:t>For and on behalf of</w:t>
              <w:br/>
              <w:t>FunKen Vision Advertising (Hong Kong) Limited</w:t>
            </w:r>
          </w:p>
        </w:tc>
      </w:tr>
      <w:tr>
        <w:trPr/>
        <w:tc>
          <w:tcPr>
            <w:tcW w:w="1055" w:type="dxa"/>
            <w:tcBorders/>
            <w:vAlign w:val="center"/>
          </w:tcPr>
          <w:p>
            <w:pPr>
              <w:pStyle w:val="TableContents"/>
              <w:bidi w:val="0"/>
              <w:spacing w:before="0" w:after="283"/>
              <w:jc w:val="left"/>
              <w:rPr/>
            </w:pPr>
            <w:r>
              <w:rPr/>
              <w:t> </w:t>
            </w:r>
          </w:p>
        </w:tc>
        <w:tc>
          <w:tcPr>
            <w:tcW w:w="36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pPr>
            <w:r>
              <w:rPr/>
              <w:t> </w:t>
            </w:r>
          </w:p>
        </w:tc>
      </w:tr>
      <w:tr>
        <w:trPr/>
        <w:tc>
          <w:tcPr>
            <w:tcW w:w="1055" w:type="dxa"/>
            <w:tcBorders/>
            <w:vAlign w:val="center"/>
          </w:tcPr>
          <w:p>
            <w:pPr>
              <w:pStyle w:val="TableContents"/>
              <w:bidi w:val="0"/>
              <w:spacing w:before="0" w:after="283"/>
              <w:jc w:val="left"/>
              <w:rPr/>
            </w:pPr>
            <w:r>
              <w:rPr/>
              <w:t>Signature: </w:t>
            </w:r>
          </w:p>
        </w:tc>
        <w:tc>
          <w:tcPr>
            <w:tcW w:w="3619" w:type="dxa"/>
            <w:tcBorders/>
            <w:vAlign w:val="center"/>
          </w:tcPr>
          <w:p>
            <w:pPr>
              <w:pStyle w:val="TableContents"/>
              <w:bidi w:val="0"/>
              <w:spacing w:before="0" w:after="283"/>
              <w:jc w:val="both"/>
              <w:rPr/>
            </w:pPr>
            <w:r>
              <w:rPr/>
              <w:t>__________[Seal]_____________________</w:t>
            </w:r>
          </w:p>
        </w:tc>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Signature: </w:t>
            </w:r>
          </w:p>
        </w:tc>
        <w:tc>
          <w:tcPr>
            <w:tcW w:w="4430" w:type="dxa"/>
            <w:tcBorders/>
            <w:vAlign w:val="center"/>
          </w:tcPr>
          <w:p>
            <w:pPr>
              <w:pStyle w:val="TableContents"/>
              <w:bidi w:val="0"/>
              <w:spacing w:before="0" w:after="283"/>
              <w:jc w:val="both"/>
              <w:rPr/>
            </w:pPr>
            <w:r>
              <w:rPr/>
              <w:t>__________[Seal]___________________________</w:t>
            </w:r>
          </w:p>
        </w:tc>
      </w:tr>
      <w:tr>
        <w:trPr/>
        <w:tc>
          <w:tcPr>
            <w:tcW w:w="1055" w:type="dxa"/>
            <w:tcBorders/>
            <w:vAlign w:val="center"/>
          </w:tcPr>
          <w:p>
            <w:pPr>
              <w:pStyle w:val="TableContents"/>
              <w:bidi w:val="0"/>
              <w:spacing w:before="0" w:after="283"/>
              <w:jc w:val="left"/>
              <w:rPr/>
            </w:pPr>
            <w:r>
              <w:rPr/>
              <w:t> </w:t>
            </w:r>
          </w:p>
        </w:tc>
        <w:tc>
          <w:tcPr>
            <w:tcW w:w="36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pPr>
            <w:r>
              <w:rPr/>
              <w:t> </w:t>
            </w:r>
          </w:p>
        </w:tc>
      </w:tr>
      <w:tr>
        <w:trPr/>
        <w:tc>
          <w:tcPr>
            <w:tcW w:w="1055" w:type="dxa"/>
            <w:tcBorders/>
            <w:vAlign w:val="center"/>
          </w:tcPr>
          <w:p>
            <w:pPr>
              <w:pStyle w:val="TableContents"/>
              <w:bidi w:val="0"/>
              <w:spacing w:before="0" w:after="283"/>
              <w:jc w:val="left"/>
              <w:rPr/>
            </w:pPr>
            <w:r>
              <w:rPr/>
              <w:t>Name:</w:t>
            </w:r>
          </w:p>
        </w:tc>
        <w:tc>
          <w:tcPr>
            <w:tcW w:w="3619"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Name:</w:t>
            </w:r>
          </w:p>
        </w:tc>
        <w:tc>
          <w:tcPr>
            <w:tcW w:w="443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55" w:type="dxa"/>
            <w:tcBorders/>
            <w:vAlign w:val="center"/>
          </w:tcPr>
          <w:p>
            <w:pPr>
              <w:pStyle w:val="TableContents"/>
              <w:bidi w:val="0"/>
              <w:spacing w:before="0" w:after="283"/>
              <w:jc w:val="left"/>
              <w:rPr/>
            </w:pPr>
            <w:r>
              <w:rPr/>
              <w:t> </w:t>
            </w:r>
          </w:p>
        </w:tc>
        <w:tc>
          <w:tcPr>
            <w:tcW w:w="36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pPr>
            <w:r>
              <w:rPr/>
              <w:t> </w:t>
            </w:r>
          </w:p>
        </w:tc>
      </w:tr>
      <w:tr>
        <w:trPr/>
        <w:tc>
          <w:tcPr>
            <w:tcW w:w="4674" w:type="dxa"/>
            <w:gridSpan w:val="2"/>
            <w:tcBorders/>
            <w:vAlign w:val="center"/>
          </w:tcPr>
          <w:p>
            <w:pPr>
              <w:pStyle w:val="TableContents"/>
              <w:bidi w:val="0"/>
              <w:spacing w:before="0" w:after="283"/>
              <w:jc w:val="left"/>
              <w:rPr/>
            </w:pPr>
            <w:r>
              <w:rPr/>
              <w:t>Designation: _________________________________</w:t>
            </w:r>
          </w:p>
        </w:tc>
        <w:tc>
          <w:tcPr>
            <w:tcW w:w="60" w:type="dxa"/>
            <w:tcBorders/>
            <w:vAlign w:val="center"/>
          </w:tcPr>
          <w:p>
            <w:pPr>
              <w:pStyle w:val="TableContents"/>
              <w:bidi w:val="0"/>
              <w:spacing w:before="0" w:after="283"/>
              <w:jc w:val="left"/>
              <w:rPr/>
            </w:pPr>
            <w:r>
              <w:rPr/>
              <w:t> </w:t>
            </w:r>
          </w:p>
        </w:tc>
        <w:tc>
          <w:tcPr>
            <w:tcW w:w="5471" w:type="dxa"/>
            <w:gridSpan w:val="2"/>
            <w:tcBorders/>
            <w:vAlign w:val="center"/>
          </w:tcPr>
          <w:p>
            <w:pPr>
              <w:pStyle w:val="TableContents"/>
              <w:bidi w:val="0"/>
              <w:spacing w:before="0" w:after="283"/>
              <w:jc w:val="left"/>
              <w:rPr/>
            </w:pPr>
            <w:r>
              <w:rPr/>
              <w:t>Designation: ________________________________________</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0" w:name="ex4-19.htm"/>
      <w:bookmarkStart w:id="671" w:name="ksex419"/>
      <w:bookmarkEnd w:id="670"/>
      <w:bookmarkEnd w:id="6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FunKen Vision Advertising (Hong Kong) Limited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 2025891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PRECISION MARKETING SERVICES PLACEMENT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 2025891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entered into as of May 12, 2025 (the “Effective Date”) by and between Robot Consulting Co., Ltd., with its principal place of business at 6th Floor Le Gratteciel Building 2, 5-22-6 Shimbashi, Minato Ward, Tokyo 105-0004 (hereinafter “Party A”), and FunKen Vision Advertising (Hong Kong) Limited (hereinafter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through friendly negotiations and on the basis of mutual benefit, agree to the following terms and conditions (hereinafter individually referred to as a “Party” and collectively as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 Scope of Cooperation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B’s cooperation platforms refer to: Google AdWords and Facebook / TikTok (hereinafter the “Cooperation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has strong capabilities in smartphone games and wireless information transmission technology and is able to place the products under this Agreement to relevant users. Party B shall ensure that the Cooperation Platforms do not involve content prohibited by laws and regulations or by the platform operators, and guarantee that the cooperation between the Parties can proceed normally within the agreed cooperation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A’s placement products refer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provide Party B with Android/iOS application clients and dedicated zone graphic and textual materials (hereinafter “Placement Products”). Party B shall use the Cooperation Platforms to place Party A’s Placement Products. Party A guarantees the legality of the Placement Products. The specific products to be placed on Party B’s Cooperation Platforms shall be subject to mutual email confirmation.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CPI (Cost Per Install): A placement method in which the information system usage fee is settled based on valid downloads. Each valid download generates one valid CPI.</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CPC (Cost Per Click): A placement method in which the information system usage fee is settled based on valid clicks. Each valid click generates one valid CPC.</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CPM (Cost Per Mille): A placement method in which the information system usage fee is settled based on valid impressions. Every 1,000 valid impressions generate one valid CPM.</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CPT (Cost Per Time): A settlement method for certain placement resources. Channel marketplace recommended resources are also settled by time, with the default unit typically being per day (CPD).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 Settlement Method and Payment Terms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Settlement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Unit prices shall be subject to the terms confirmed in this Agreement. The Parties agree that Party A shall settle based on the download statistics from Party B’s Google/Facebook backend account. The settlement price shall be in CPI format, with specific reference to the table below. (Monthly consumption herein refers to calendar months.) If Party A fails to make the corresponding payment within the stipulated timeframe, Party B shall have the right to suspend all of Party A’s placement accounts within 7 days following the expiration of the settlement cycle.</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2345"/>
        <w:gridCol w:w="60"/>
        <w:gridCol w:w="2315"/>
        <w:gridCol w:w="60"/>
        <w:gridCol w:w="2315"/>
      </w:tblGrid>
      <w:tr>
        <w:trPr/>
        <w:tc>
          <w:tcPr>
            <w:tcW w:w="23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Country/Region</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Price (HKD) CPI/CPC</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Google / Facebook / TikTok</w:t>
            </w:r>
          </w:p>
        </w:tc>
        <w:tc>
          <w:tcPr>
            <w:tcW w:w="60"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w:t>
            </w:r>
          </w:p>
        </w:tc>
        <w:tc>
          <w:tcPr>
            <w:tcW w:w="60"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cooperate on a fair and transparent basis. The contract amount is USD 450,000, which Party B shall use for placement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assist Party A in building a website (reference: http://school.rhino-3d.com/), including website construction, domain name procurement, payment gateway integration, and related environment configuration. (Business license and identity information required for website construction shall be provided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shall be made in accordance with the progress of Party A’s project during the cooperation period. Party A shall pay the information system usage fee to Party B’s designated account within 5 business days of confirming the settlement amount prior to placement. Party B shall issue an invoice to Party A during the cooperation period. If payment is made in a currency other than Hong Kong Dollars, it shall be converted at the prevailing exchange rate on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Cooperation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21, 2025 to December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Party B’s Bank Account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FunKen Vision Advertising (Hong Kong) Limited</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CMB Wing Lung Bank Limited</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Code: 020</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SWIFT Code: WUBAHKHH</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Address: 45 Des Voeux Road, Central,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bank account information shall be subject to Party B’s email confirmation as the final payment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 Data Reconciliation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Party B shall provide Party A with relevant data during the placement period of Party A’s products for Party A’s reference and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CPA, CPC and CPM volumes under this Agreement shall be based on Party B’s platform statistics. Party A may also independently compile relevant data. In the event of any discrepancy between Party A’s independently compiled data and Party B’s platform data, the Parties agree to handle such discrepancy in accordance with the following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The statistical data within each settlement cycle shall be based on Google or Facebook backend conversion and download data;</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If the discrepancy between the two sets of data within a settlement cycle is 5% (exclusive) or more, the settlement data shall be subject to mutual verification and confirmation by both Parties;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If the Parties cannot reach an agreement on the data discrepancy referred to in Article 3.2.2, either Party shall have the right to engage an independent third-party appraisal institution to verify and authenticate such data. Both Parties shall accept the appraisal opinion issued by the third-party institution, and all costs incurred (including but not limited to appraisal fees) shall be borne by each Party in accordance with their respective degree of 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Data Monitoring: Party B is obligated to provide Party A with relevant information statistics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 Rights and Obligations of the Parties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Rights and Obligations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Party A shall ensure that the Placement Products and their content do not violate any laws, regulations, policies or public moral standards, and do not infringe upon the legitimate rights and interests of any third party. If Party A breaches this warranty, Party A shall bear full responsibility therefor. If Party B suffers any loss as a result, Party A shall provide full and adequate compensation to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Party A shall be responsible for the platform development of the Placement Products during the term of this Agreement, including technical support, content and product support, and backend statistics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Party A shall be responsible for the setup, operation, maintenance and management of Party A’s servers and user management, and shall bear all costs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Complaints from users regarding Party A and the Placement Products shall be handled and resolved by Party A, and all costs incurred and corresponding legal liability shall be borne solely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If Party A needs to adjust the placement schedule or method for the products, Party A shall notify Party B by email at least 1 business day in advance. Party B shall cooperate with such adjustments, provided that they do not conflict with other product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Party A shall submit the Placement Product client application and dedicated zone graphic and textual materials to Party B for review within 5 business days of executing this Agreement. If Party A needs to modify the presentation format of the Placement Product client application or dedicated zone materials, Party A shall notify Party B in writing at least 1 business day in advance and resubmit the modified presentation format to Party B for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Rights and Obligations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Party B shall be responsible for the technical support, operation and placement on the Cooperation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After confirming receipt of the required dedicated zone graphic and textual materials for Party A’s Placement Products and completing its review, Party B shall arrange the placement for Party A within 3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During the cooperation period, if Party A has additional placement requirements, Party A shall negotiate with Party B. Upon Party B’s confirmation and consent, Party B shall actively cooperate with such requirements.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Party B shall be independently responsible for handling user complaints regarding Party B’s Cooperation Platforms, and all costs incurred in connection therewith shall be borne solely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Party B shall have the right to request Party A to modify the dedicated zone graphic and textual materials for the Placement Products, and Party A shall actively cooperate with such requests. Prior to Party A making the modifications required by Party B, Party B shall have the right to refuse to proceed with the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Party B shall designate a dedicated contact person responsible for communicating and coordinating with Party A on issues arising during the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 Intellectual Property and Confidentiality</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Both Parties shall fully respect and protect the other Party’s intellectual property rights involved in the cooperation, and shall ensure that they have fully respected and protected the intellectual property rights of any third parties in the performance of this Agreement. The content and products provided by each Party for this cooperation shall be free from any intellectual property defects; otherwise, each Party shall bear the consequences of its own 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In the event that any intellectual property dispute arises with a third party in connection with the subject matter of this cooperation, both Parties shall be obligated to promptly notify the other Party. The Party that provided or took the relevant action giving rise to the intellectual property dispute shall be responsible for promptly coordinating and resolving the dispute with the third party and shall be solely responsible for its own acts. The Party responsible for coordinating with the third party shall promptly provide the other Party with written updates on the status of the matter and related explanations. If Party B receives a judgment, ruling or preservation order from a competent government authority or judicial body requiring the suspension of placement, Party B shall have the right to suspend placement and shall resume placement or terminate this Agreement upon resolution of the ownership dispute.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Both Parties shall maintain in confidence all technical, commercial secrets and other confidential information of the other Party obtained in connection with this cooperation. Neither Party shall disclose any confidential information of the other Party to any third party or use such information outside the scope of this cooperation or in any other manner detrimental to the other Party’s interests without the prior consent of the other Party. This restriction shall not apply to disclosures required by applicable law or legally binding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Confidential information shall not include: (A) information or materials that have already been made available to the public; or (B) information or materials lawfully obtained by either Party through legitimate means, at the time of which neither Party was subject to any confidentiality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Both Parties shall also maintain the confidentiality of this Agreement and its related terms, and shall not disclose them to any third party in any form or for any reason (except to shareholders, directors, employees, and agents and advisors engaged by either Party who are required to have knowledge of this Agreement and its terms in the performance of their respective duties). A breach of this obligation shall entitle the non-breaching Party to claim damages and pursue legal liability in accordance with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 Breach and Termination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If either Party breaches any obligation set forth in this Agreement, the breaching Party shall immediately cease such breach upon receipt of written notice from the non-breaching Party requesting rectification, and shall compensate the non-breaching Party for all losses suffered as a result within 10 business days. If the breaching Party continues to breach or fails to fulfill its obligations, the non-breaching Party shall be entitled to, in addition to receiving compensation for all losses, unilaterally terminate this Agreement on the day the breaching Party receives written notice thereof (the date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In the event of late payment by Party A, Party A shall pay Party B a penalty of 0.03% of the outstanding amount for each day of delay. If payment is overdue by more than 15 business days, Party B shall have the right to terminate this Agreement and demand that Party A pay the outstanding information system usage fees, and Party A shall additionally pay Party B a penalty equal to 5% of the outstanding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If the Placement Product client application and dedicated zone graphic and textual materials submitted by Party A fail to pass Party B’s review and remain non-compliant after rectification within the period designated by Party B, Party B shall have the right to refuse to place Party A’s Placement Products without bearing any liability, and Party B shall have the right to unilaterally terminate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During the cooperation period, Party B shall not be liable for any delay in placement caused by technical failures attributable to the Placement Products provided by Party A. If such failures cause any loss to Party B, Party A shall also compensate Party B for all losses incurred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 Miscellaneous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If either Party sends a notice to the other Party separately by email, the notice shall be deemed delivered on the following dates: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On the date a confirmed facsimile is sent;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On the 4th business day after the date an email is sent;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In the case of certified mail requiring acknowledgment of receipt, on the date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In the event of a force majeure event, the obligations of both Parties under this Agreement shall be suspended to the extent affected by and for the duration of the force majeure event. The cooperation period may be extended accordingly for a period equal to the duration of such suspension, subject to mutual agreement between the Parties. Neither Party shall bear any liability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Force majeure refers to objective circumstances that render part or all of this Agreement impossible to perform due to natural disasters, war, hacker attacks, emergencies, or any other circumstances that are unforeseeable, unavoidable and insurmountable.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 The Party claiming force majeure shall notify the other Party no later than 15 days after the occurrence of the force majeure event, together with written evidence of the force majeure confirmed by the relevant authorities, and shall take all reasonable measures to mitigate the damage caused by the force majeure event.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 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 This Agreement shall become legally binding upon execution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 Unless otherwise provided herein, the confirmed email addresses of both Parties shall be those set forth in the party information at the beginning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 Matters not addressed in this Agreement shall be governed by applicable law. Any deficiencies shall be resolved by the Parties through good-faith negotiation. If no agreement can be reached through negotiation, either Party may submit the dispute to the Hong Kong International Arbitration Centre (HKIAC) for arbitration in accordance with its then-current arbitration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 This Agreement is executed in four (4) originals, with each Party retaining two (2) copies, all of which shall have equal legal effect and become effective upon affixing of each Party’s seal.</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28" w:type="dxa"/>
          <w:right w:w="0" w:type="dxa"/>
        </w:tblCellMar>
      </w:tblPr>
      <w:tblGrid>
        <w:gridCol w:w="3575"/>
        <w:gridCol w:w="60"/>
        <w:gridCol w:w="4955"/>
      </w:tblGrid>
      <w:tr>
        <w:trPr/>
        <w:tc>
          <w:tcPr>
            <w:tcW w:w="35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Robot Consulting Co., Ltd.</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FunKen Vision Advertising (Hong Kong) Limited</w:t>
            </w:r>
          </w:p>
        </w:tc>
      </w:tr>
      <w:tr>
        <w:trPr/>
        <w:tc>
          <w:tcPr>
            <w:tcW w:w="35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 Year _____ Month _____ Day</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 Year _____ Month _____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 ACCEPTANCE CONFIRMATION FORM</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Name: Precision Marketing Services Placement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Executing Party: FunKen Vision Advertising (Hong Kong)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Precision Marketing Services Placement Agreement (hereinafter the “Agreement”) executed by both Parties, the project executing party has completed the information placement services in accordance with the Agreement. Upon evaluation by our party, the project meets the acceptance standards and is hereby confirmed as accepted.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contract amount for this project is USD 450,000. The service amount confirmed and verified by our party is USD 450,000.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hereby confirmed.</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220"/>
        <w:gridCol w:w="575"/>
        <w:gridCol w:w="60"/>
        <w:gridCol w:w="75"/>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by:</w:t>
            </w:r>
          </w:p>
        </w:tc>
        <w:tc>
          <w:tcPr>
            <w:tcW w:w="63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72" w:name="ex12-1.htm"/>
      <w:bookmarkStart w:id="673" w:name="ksex121"/>
      <w:bookmarkEnd w:id="672"/>
      <w:bookmarkEnd w:id="6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Hidetoshi Yokoyama,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as amended, of Robot Consulting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545"/>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5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Representative Director and Chairman </w:t>
            </w:r>
            <w:r>
              <w:rPr>
                <w:rFonts w:ascii="Times New Roman;Times;Serif" w:hAnsi="Times New Roman;Times;Serif"/>
                <w:b w:val="false"/>
                <w:i/>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bookmarkStart w:id="674" w:name="ex12-2.htm"/>
      <w:bookmarkStart w:id="675" w:name="ksex122"/>
      <w:bookmarkEnd w:id="674"/>
      <w:bookmarkEnd w:id="67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Yukio Aida,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as amended, of Robot Consulting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545"/>
        <w:gridCol w:w="5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Yukio Aida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Yukio Aida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Financial Officer (</w:t>
            </w:r>
            <w:r>
              <w:rPr>
                <w:rFonts w:ascii="Times New Roman;Times;Serif" w:hAnsi="Times New Roman;Times;Serif"/>
                <w:b w:val="false"/>
                <w:i/>
                <w:caps w:val="false"/>
                <w:smallCaps w:val="false"/>
                <w:sz w:val="20"/>
              </w:rPr>
              <w:t>Principal Financial Officer</w:t>
            </w:r>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676" w:name="ex13-1.htm"/>
      <w:bookmarkStart w:id="677" w:name="ksex131"/>
      <w:bookmarkEnd w:id="676"/>
      <w:bookmarkEnd w:id="6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18 U.S.C. SECTION 1350, AS ADOPTED PURSUANT TO SECTION 906 OF THE SARBANES-OXLEY ACT OF 2002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Robot Consulting Co., Ltd. (the “Company”) on Form 20-F for the fiscal year ended March 31, 2026, as filed with the U.S. Securities and Exchange Commission on the date hereof (the “Report”), I, Hidetoshi Yokoyama, representative director and chairman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Chairman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bookmarkStart w:id="678" w:name="ex13-2.htm"/>
      <w:bookmarkStart w:id="679" w:name="ksex132"/>
      <w:bookmarkEnd w:id="678"/>
      <w:bookmarkEnd w:id="67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 18 U.S.C. SECTION 1350, AS ADOPTED PURSUANT TO SECTION 906 OF THE SARBANES-OXLEY ACT OF 2002</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Robot Consulting Co., Ltd. (the “Company”) on Form 20-F for the fiscal year ended March 31, 2026, as filed with the U.S. Securities and Exchange Commission on the date hereof (the “Report”), I, Yukio Aida, director and chief financial officer of the Company, certify, pursuant to 18 U.S.C. Section 1350, as adopted pursuant to Section 906 of the Sarbanes-Oxley Act of 2002, that to my knowledge: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p>
      <w:pPr>
        <w:pStyle w:val="TextBody"/>
        <w:bidi w:val="0"/>
        <w:jc w:val="left"/>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Yukio Aida</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Yukio Aida</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Financial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w:t>
            </w:r>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color w:val="000000"/>
        </w:rPr>
      </w:pPr>
      <w:bookmarkStart w:id="680" w:name="ex97-1.htm"/>
      <w:bookmarkStart w:id="681" w:name="ksex971"/>
      <w:bookmarkEnd w:id="680"/>
      <w:bookmarkEnd w:id="681"/>
      <w:r>
        <w:rPr>
          <w:caps w:val="false"/>
          <w:smallCaps w:val="false"/>
          <w:color w:val="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97.1</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Robot Consulting CO., Ltd.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COMPENSATION RECOVERY POLICY</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Effective August 4, 2025</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accordance with Section 10D of the Securities Exchange Act of 1934, as amended (the “</w:t>
      </w:r>
      <w:r>
        <w:rPr>
          <w:rFonts w:ascii="Times New Roman;Times;Serif" w:hAnsi="Times New Roman;Times;Serif"/>
          <w:b/>
          <w:i w:val="false"/>
          <w:caps w:val="false"/>
          <w:smallCaps w:val="false"/>
          <w:color w:val="000000"/>
          <w:sz w:val="20"/>
        </w:rPr>
        <w:t>Exchange Act</w:t>
      </w:r>
      <w:r>
        <w:rPr>
          <w:rFonts w:ascii="Times New Roman;Times;Serif" w:hAnsi="Times New Roman;Times;Serif"/>
          <w:b w:val="false"/>
          <w:i w:val="false"/>
          <w:caps w:val="false"/>
          <w:smallCaps w:val="false"/>
          <w:color w:val="000000"/>
          <w:sz w:val="20"/>
        </w:rPr>
        <w:t>”), Exchange Act Rule 10D-1, and the listing standards of the national securities exchange (the “</w:t>
      </w:r>
      <w:r>
        <w:rPr>
          <w:rFonts w:ascii="Times New Roman;Times;Serif" w:hAnsi="Times New Roman;Times;Serif"/>
          <w:b/>
          <w:i w:val="false"/>
          <w:caps w:val="false"/>
          <w:smallCaps w:val="false"/>
          <w:color w:val="000000"/>
          <w:sz w:val="20"/>
        </w:rPr>
        <w:t>Exchange</w:t>
      </w:r>
      <w:r>
        <w:rPr>
          <w:rFonts w:ascii="Times New Roman;Times;Serif" w:hAnsi="Times New Roman;Times;Serif"/>
          <w:b w:val="false"/>
          <w:i w:val="false"/>
          <w:caps w:val="false"/>
          <w:smallCaps w:val="false"/>
          <w:color w:val="000000"/>
          <w:sz w:val="20"/>
        </w:rPr>
        <w:t>”) on which the securities of Robot Consulting Co., Ltd.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are listed, the Company’s Board of Directors (the “</w:t>
      </w:r>
      <w:r>
        <w:rPr>
          <w:rFonts w:ascii="Times New Roman;Times;Serif" w:hAnsi="Times New Roman;Times;Serif"/>
          <w:b/>
          <w:i w:val="false"/>
          <w:caps w:val="false"/>
          <w:smallCaps w:val="false"/>
          <w:color w:val="000000"/>
          <w:sz w:val="20"/>
        </w:rPr>
        <w:t>Board</w:t>
      </w:r>
      <w:r>
        <w:rPr>
          <w:rFonts w:ascii="Times New Roman;Times;Serif" w:hAnsi="Times New Roman;Times;Serif"/>
          <w:b w:val="false"/>
          <w:i w:val="false"/>
          <w:caps w:val="false"/>
          <w:smallCaps w:val="false"/>
          <w:color w:val="000000"/>
          <w:sz w:val="20"/>
        </w:rPr>
        <w:t>”) has adopted this Compensation Recovery Policy (the “</w:t>
      </w:r>
      <w:r>
        <w:rPr>
          <w:rFonts w:ascii="Times New Roman;Times;Serif" w:hAnsi="Times New Roman;Times;Serif"/>
          <w:b/>
          <w:i w:val="false"/>
          <w:caps w:val="false"/>
          <w:smallCaps w:val="false"/>
          <w:color w:val="000000"/>
          <w:sz w:val="20"/>
        </w:rPr>
        <w:t>Policy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Capitalized terms used in the Policy are defined in </w:t>
      </w:r>
      <w:r>
        <w:rPr>
          <w:rFonts w:ascii="Times New Roman;Times;Serif" w:hAnsi="Times New Roman;Times;Serif"/>
          <w:b w:val="false"/>
          <w:i w:val="false"/>
          <w:caps w:val="false"/>
          <w:smallCaps w:val="false"/>
          <w:color w:val="000000"/>
          <w:sz w:val="20"/>
          <w:u w:val="single"/>
        </w:rPr>
        <w:t>Section I</w:t>
      </w:r>
      <w:r>
        <w:rPr>
          <w:rFonts w:ascii="Times New Roman;Times;Serif" w:hAnsi="Times New Roman;Times;Serif"/>
          <w:b w:val="false"/>
          <w:i w:val="false"/>
          <w:caps w:val="false"/>
          <w:smallCaps w:val="false"/>
          <w:color w:val="000000"/>
          <w:sz w:val="20"/>
        </w:rPr>
        <w:t xml:space="preserve"> below. The application of the Policy to Executive Officers is not discretionary, except to the limited extent provided in </w:t>
      </w:r>
      <w:r>
        <w:rPr>
          <w:rFonts w:ascii="Times New Roman;Times;Serif" w:hAnsi="Times New Roman;Times;Serif"/>
          <w:b w:val="false"/>
          <w:i w:val="false"/>
          <w:caps w:val="false"/>
          <w:smallCaps w:val="false"/>
          <w:color w:val="000000"/>
          <w:sz w:val="20"/>
          <w:u w:val="single"/>
        </w:rPr>
        <w:t>Section G</w:t>
      </w:r>
      <w:r>
        <w:rPr>
          <w:rFonts w:ascii="Times New Roman;Times;Serif" w:hAnsi="Times New Roman;Times;Serif"/>
          <w:b w:val="false"/>
          <w:i w:val="false"/>
          <w:caps w:val="false"/>
          <w:smallCaps w:val="false"/>
          <w:color w:val="000000"/>
          <w:sz w:val="20"/>
        </w:rPr>
        <w:t xml:space="preserve"> below, and applies without regard to whether an Executive Officer was at fault.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w:t>
            </w:r>
          </w:p>
        </w:tc>
        <w:tc>
          <w:tcPr>
            <w:tcW w:w="260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Persons Covered by the Policy</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Policy is binding and enforceable against all Executive Officers to the extent permitted under Japanese law. Each Executive Officer will be required to sign and return to the Company an acknowledgement that such Executive Officer will be bound by the terms and comply with the Policy to the extent permitted under Japanese law. The failure to obtain such acknowledgement will have no impact on the applicability or enforceability of the Policy.</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658" w:type="dxa"/>
        <w:jc w:val="left"/>
        <w:tblInd w:w="0" w:type="dxa"/>
        <w:tblLayout w:type="fixed"/>
        <w:tblCellMar>
          <w:top w:w="0" w:type="dxa"/>
          <w:left w:w="0" w:type="dxa"/>
          <w:bottom w:w="0" w:type="dxa"/>
          <w:right w:w="0" w:type="dxa"/>
        </w:tblCellMar>
      </w:tblPr>
      <w:tblGrid>
        <w:gridCol w:w="38"/>
        <w:gridCol w:w="20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Administration of the Policy</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Board has full-delegated authority to administer the Policy. The Board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Board will be deemed to refer to such independent members of the Board or such other Board committee. All determinations of the Board will be final and binding and will be given the maximum deference permitted by law.</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418" w:type="dxa"/>
        <w:jc w:val="left"/>
        <w:tblInd w:w="0" w:type="dxa"/>
        <w:tblLayout w:type="fixed"/>
        <w:tblCellMar>
          <w:top w:w="0" w:type="dxa"/>
          <w:left w:w="0" w:type="dxa"/>
          <w:bottom w:w="0" w:type="dxa"/>
          <w:right w:w="0" w:type="dxa"/>
        </w:tblCellMar>
      </w:tblPr>
      <w:tblGrid>
        <w:gridCol w:w="38"/>
        <w:gridCol w:w="20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w:t>
            </w:r>
          </w:p>
        </w:tc>
        <w:tc>
          <w:tcPr>
            <w:tcW w:w="518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Accounting Restatements Requiring Application of the Policy</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Times;Serif" w:hAnsi="Times New Roman;Times;Serif"/>
          <w:b/>
          <w:i w:val="false"/>
          <w:caps w:val="false"/>
          <w:smallCaps w:val="false"/>
          <w:color w:val="000000"/>
          <w:sz w:val="20"/>
        </w:rPr>
        <w:t>Accounting Restatement</w:t>
      </w:r>
      <w:r>
        <w:rPr>
          <w:rFonts w:ascii="Times New Roman;Times;Serif" w:hAnsi="Times New Roman;Times;Serif"/>
          <w:b w:val="false"/>
          <w:i w:val="false"/>
          <w:caps w:val="false"/>
          <w:smallCaps w:val="false"/>
          <w:color w:val="000000"/>
          <w:sz w:val="20"/>
        </w:rPr>
        <w:t>”), then the Board must determine the excess compensation, if any, that must be recovered (the “</w:t>
      </w:r>
      <w:r>
        <w:rPr>
          <w:rFonts w:ascii="Times New Roman;Times;Serif" w:hAnsi="Times New Roman;Times;Serif"/>
          <w:b/>
          <w:i w:val="false"/>
          <w:caps w:val="false"/>
          <w:smallCaps w:val="false"/>
          <w:color w:val="000000"/>
          <w:sz w:val="20"/>
        </w:rPr>
        <w:t>Excess Compensation</w:t>
      </w:r>
      <w:r>
        <w:rPr>
          <w:rFonts w:ascii="Times New Roman;Times;Serif" w:hAnsi="Times New Roman;Times;Serif"/>
          <w:b w:val="false"/>
          <w:i w:val="false"/>
          <w:caps w:val="false"/>
          <w:smallCaps w:val="false"/>
          <w:color w:val="000000"/>
          <w:sz w:val="20"/>
        </w:rPr>
        <w:t>”). The Company’s obligation to recover Excess Compensation is not dependent on if or when the restated financial statements are filed.</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3393" w:type="dxa"/>
        <w:jc w:val="left"/>
        <w:tblInd w:w="0" w:type="dxa"/>
        <w:tblLayout w:type="fixed"/>
        <w:tblCellMar>
          <w:top w:w="0" w:type="dxa"/>
          <w:left w:w="0" w:type="dxa"/>
          <w:bottom w:w="0" w:type="dxa"/>
          <w:right w:w="0" w:type="dxa"/>
        </w:tblCellMar>
      </w:tblPr>
      <w:tblGrid>
        <w:gridCol w:w="38"/>
        <w:gridCol w:w="20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Compensation Covered by the Policy</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Policy applies to all Incentive-Based Compensation Received by an Executive Officer:</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after beginning service as an Executive Officer;</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0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who served as an Executive Officer at any time during the performance period for that Incentive-Based Compensation;</w:t>
            </w:r>
          </w:p>
        </w:tc>
      </w:tr>
    </w:tbl>
    <w:p>
      <w:pPr>
        <w:pStyle w:val="TextBody"/>
        <w:bidi w:val="0"/>
        <w:spacing w:before="0" w:after="0"/>
        <w:ind w:left="1080" w:right="0" w:hanging="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while the Company has a class of securities listed on the Exchange;</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completed fiscal years immediately preceding the Accounting Restatement Determination Date. In addition to these last three completed fiscal years, the Policy must apply to any transition period (that results from a change in the Company’s fiscal year) within or immediately following those three completed fiscal years. However, a transition period between the last day of the Company’s previous fiscal year end and the first day of the Company’s new fiscal year that comprises a period of nine to 12 months would be deemed a completed fiscal year; and</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or after October 2, 2023.</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4923" w:type="dxa"/>
        <w:jc w:val="left"/>
        <w:tblInd w:w="0" w:type="dxa"/>
        <w:tblLayout w:type="fixed"/>
        <w:tblCellMar>
          <w:top w:w="0" w:type="dxa"/>
          <w:left w:w="0" w:type="dxa"/>
          <w:bottom w:w="0" w:type="dxa"/>
          <w:right w:w="0" w:type="dxa"/>
        </w:tblCellMar>
      </w:tblPr>
      <w:tblGrid>
        <w:gridCol w:w="38"/>
        <w:gridCol w:w="20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w:t>
            </w:r>
          </w:p>
        </w:tc>
        <w:tc>
          <w:tcPr>
            <w:tcW w:w="4685"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Excess Compensation Subject to Recovery of the Policy</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Excess Compensation is the amount of Incentive-Based Compensation Received that exceeds the amount of Incentive-Based Compensation that otherwise would have been Received had such Incentive-Based Compensation been determined based on the restated amounts (this is referred to in the listings standards as “erroneously awarded incentive-based compensation”) and must be computed without regard to any taxes paid.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the documentation to the Exchange.</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303" w:type="dxa"/>
        <w:jc w:val="left"/>
        <w:tblInd w:w="0" w:type="dxa"/>
        <w:tblLayout w:type="fixed"/>
        <w:tblCellMar>
          <w:top w:w="0" w:type="dxa"/>
          <w:left w:w="0" w:type="dxa"/>
          <w:bottom w:w="0" w:type="dxa"/>
          <w:right w:w="0" w:type="dxa"/>
        </w:tblCellMar>
      </w:tblPr>
      <w:tblGrid>
        <w:gridCol w:w="38"/>
        <w:gridCol w:w="18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Repayment of Excess Compensation</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must recover Excess Compensation reasonably promptly and Executive Officers are required to repay Excess Compensation to the Company. Subject to applicable law, the Company may recover Excess Compensation by requiring the Executive Officer to repay such amount to the Company by direct payment to the Company or such other means or combination of means as the Board determines to be appropriate (these determinations do not need to be identical as to each Executive Officer). These means may include:</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requiring reimbursement of cash Incentive-Based Compensation previously paid;</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18"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1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seeking recovery of any gain realized on the vesting, exercise, settlement, sale, transfer, or other disposition of any equity-based awards;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18"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1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offsetting the amount to be recovered from any unpaid or future compensation to be paid by the Company or any affiliate of the Company to the Executive Officer to the extent permitted under Japanese law;</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18"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1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cancelling outstanding vested or unvested equity awards; and/or</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18"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1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taking any other remedial and recovery action permitted by law, as determined by the Board.</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repayment of Excess Compensation must be made by an Executive Officer notwithstanding any Executive Officer’s belief (whether or not legitimate) that the Excess Compensation had been previously earned under applicable law and therefore is not subject to recovery.</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its rights to recovery under the Policy, the Company or any affiliate of the Company may take any legal actions it determines appropriate to enforce an Executive Officer’s obligations to the Company or its affiliate or to discipline an Executive Officer, including (without limitation) termination of employment or service contract, institution of civil proceedings, reporting of misconduct to appropriate governmental authorities, reduction of future compensation opportunities, or change in role. The decision to take any actions described in the preceding sentence can be made by the Board, any committee of the Board, or any duly authorized officer of the Company or of any applicable affiliate of the Company.</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3033" w:type="dxa"/>
        <w:jc w:val="left"/>
        <w:tblInd w:w="0" w:type="dxa"/>
        <w:tblLayout w:type="fixed"/>
        <w:tblCellMar>
          <w:top w:w="0" w:type="dxa"/>
          <w:left w:w="0" w:type="dxa"/>
          <w:bottom w:w="0" w:type="dxa"/>
          <w:right w:w="0" w:type="dxa"/>
        </w:tblCellMar>
      </w:tblPr>
      <w:tblGrid>
        <w:gridCol w:w="38"/>
        <w:gridCol w:w="21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w:t>
            </w:r>
          </w:p>
        </w:tc>
        <w:tc>
          <w:tcPr>
            <w:tcW w:w="278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Limited Exceptions to the Policy</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must recover Excess Compensation in accordance with the Policy except to the limited extent that any of the conditions set forth below are met, and a majority of the independent members of the Board determines that recovery of the Excess Compensation would be impracticable:</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direct expense paid to a third party to assist in enforcing the Policy would exceed the amount to be recovered. Before reaching this conclusion, the Company must make a reasonable attempt to recover the Excess Compensation, document the reasonable attempt(s) taken to so recover, and provide that documentation to the Exchange;</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2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Recovery would violate home country law where that law was adopted prior to November 28, 2022. Before reaching this conclusion, the Company must obtain an opinion of home country counsel, which counsel is reasonably acceptable to the Exchange, that recovery would likely result in such a violation, and must provide such opinion to the Exchange; or</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2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Recovery would likely cause an otherwise tax-qualified retirement plan, under which benefits are broadly available to employees or officers of the Company, to fail to meet the legal requirements as such;</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73" w:type="dxa"/>
        <w:jc w:val="left"/>
        <w:tblInd w:w="0" w:type="dxa"/>
        <w:tblLayout w:type="fixed"/>
        <w:tblCellMar>
          <w:top w:w="0" w:type="dxa"/>
          <w:left w:w="0" w:type="dxa"/>
          <w:bottom w:w="0" w:type="dxa"/>
          <w:right w:w="0" w:type="dxa"/>
        </w:tblCellMar>
      </w:tblPr>
      <w:tblGrid>
        <w:gridCol w:w="38"/>
        <w:gridCol w:w="21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w:t>
            </w:r>
          </w:p>
        </w:tc>
        <w:tc>
          <w:tcPr>
            <w:tcW w:w="362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Important Information in the Policy</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the terms of any of the Company’s organizational documents (including, but not limited to, the Company’s articles of incorporation), any corporate policy or any contract (including, but not limited to, any indemnification agreement), neither the Company nor any affiliate of the Company will indemnify or provide advancement for any Executive Officer against any loss of Excess Compensation, or any claims relating to the Company’s enforcement of its rights under the Policy. Neither the Company nor any affiliate of the Company will pay for or reimburse insurance premiums for an insurance policy that covers potential recovery obligations. In the event that pursuant to the Policy the Company is required to recover Excess Compensation from an Executive Officer who is no longer an employee or officer, the Company will be entitled to seek recovery in order to comply with applicable law, regardless of the terms of any release of claims or separation agreement such individual may have signed. Neither the Company nor any affiliate of the Company will enter into any agreement that exempts any Incentive-Based Compensation that is granted, paid, or awarded to an Executive Officer from the application of the Policy or that waives the Company’s right to recovery of any Excess Compensation, and the Policy shall supersede any such agreement (whether entered into before, on, or after the adoption of the Policy).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Board may review and modify the Policy from time to time.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Policy will terminate and no longer be enforceable when the Company ceases to be a listed issuer within the meaning of Section 10D of the Exchange Act.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128" w:type="dxa"/>
        <w:jc w:val="left"/>
        <w:tblInd w:w="0" w:type="dxa"/>
        <w:tblLayout w:type="fixed"/>
        <w:tblCellMar>
          <w:top w:w="0" w:type="dxa"/>
          <w:left w:w="0" w:type="dxa"/>
          <w:bottom w:w="0" w:type="dxa"/>
          <w:right w:w="0" w:type="dxa"/>
        </w:tblCellMar>
      </w:tblPr>
      <w:tblGrid>
        <w:gridCol w:w="38"/>
        <w:gridCol w:w="14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Definitions</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Accounting Restatement Determination Date</w:t>
      </w:r>
      <w:r>
        <w:rPr>
          <w:rFonts w:ascii="Times New Roman;Times;Serif" w:hAnsi="Times New Roman;Times;Serif"/>
          <w:b w:val="false"/>
          <w:i w:val="false"/>
          <w:caps w:val="false"/>
          <w:smallCaps w:val="false"/>
          <w:color w:val="000000"/>
          <w:sz w:val="20"/>
        </w:rPr>
        <w:t>” means the earlier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Executive Officer</w:t>
      </w:r>
      <w:r>
        <w:rPr>
          <w:rFonts w:ascii="Times New Roman;Times;Serif" w:hAnsi="Times New Roman;Times;Serif"/>
          <w:b w:val="false"/>
          <w:i w:val="false"/>
          <w:caps w:val="false"/>
          <w:smallCaps w:val="false"/>
          <w:color w:val="000000"/>
          <w:sz w:val="20"/>
        </w:rPr>
        <w:t>” means each individual who is or was ever designated as an “officer” by the Board in accordance with Exchange Act Rule 16a-1(f).</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Financial Reporting Measures</w:t>
      </w:r>
      <w:r>
        <w:rPr>
          <w:rFonts w:ascii="Times New Roman;Times;Serif" w:hAnsi="Times New Roman;Times;Serif"/>
          <w:b w:val="false"/>
          <w:i w:val="false"/>
          <w:caps w:val="false"/>
          <w:smallCaps w:val="false"/>
          <w:color w:val="000000"/>
          <w:sz w:val="20"/>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Incentive-Based Compensation</w:t>
      </w:r>
      <w:r>
        <w:rPr>
          <w:rFonts w:ascii="Times New Roman;Times;Serif" w:hAnsi="Times New Roman;Times;Serif"/>
          <w:b w:val="false"/>
          <w:i w:val="false"/>
          <w:caps w:val="false"/>
          <w:smallCaps w:val="false"/>
          <w:color w:val="000000"/>
          <w:sz w:val="20"/>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and excludes the following: salaries, bonuses paid solely at the discretion of the Board that are not paid from a bonus pool that is determined by satisfying a Financial Reporting Measure, bonuses paid solely upon satisfying one or more subjective standards and/or completion of a specified employment or service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or service period (e.g., time-based vesting equity awards) and/or attaining one or more non-Financial Reporting Measures.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Received</w:t>
      </w:r>
      <w:r>
        <w:rPr>
          <w:rFonts w:ascii="Times New Roman;Times;Serif" w:hAnsi="Times New Roman;Times;Serif"/>
          <w:b w:val="false"/>
          <w:i w:val="false"/>
          <w:caps w:val="false"/>
          <w:smallCaps w:val="false"/>
          <w:color w:val="000000"/>
          <w:sz w:val="20"/>
        </w:rPr>
        <w:t>” means, with respect to any Incentive-based Compensation, actual or deemed receipt, and Incentive-Based Compensation is “Received” under the Policy in the Company’s fiscal period during which the Financial Reporting Measure specified in the Incentive-Based Compensation award is attained, even if the payment or grant of the Incentive-Based Compensation occurs after the end of that period. For the avoidance of doubt, the Policy does not apply to Incentive-Based Compensation for which the Financial Reporting Measure is attained prior to October 2, 2023.</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ACKNOWLEDGEMENT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acknowledge that I have received and read the Compensation Recovery Policy (the “</w:t>
      </w:r>
      <w:r>
        <w:rPr>
          <w:rFonts w:ascii="Times New Roman;Times;Serif" w:hAnsi="Times New Roman;Times;Serif"/>
          <w:b/>
          <w:i w:val="false"/>
          <w:caps w:val="false"/>
          <w:smallCaps w:val="false"/>
          <w:color w:val="000000"/>
          <w:sz w:val="20"/>
        </w:rPr>
        <w:t>Policy</w:t>
      </w:r>
      <w:r>
        <w:rPr>
          <w:rFonts w:ascii="Times New Roman;Times;Serif" w:hAnsi="Times New Roman;Times;Serif"/>
          <w:b w:val="false"/>
          <w:i w:val="false"/>
          <w:caps w:val="false"/>
          <w:smallCaps w:val="false"/>
          <w:color w:val="000000"/>
          <w:sz w:val="20"/>
        </w:rPr>
        <w:t>”) of Robot Consulting Co., Ltd.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agree to be bound by and to comply with the Policy and understand that determinations of the Board (as such term is used in the Policy) will be final and binding and will be given the maximum deference permitted by law.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understand that my failure to comply in all respects with the Policy is a basis for termination of my employment or service with the Company and any affiliate of the Company, as well as any other appropriate discipline.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understand that neither the Policy, nor the application of the Policy to me, gives rise to a resignation for good reason (or similar concept) by me under any applicable employment or service agreement or arrangement.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acknowledge that if I have questions concerning the meaning or application of the Policy, it is my responsibility to seek guidance from the Company’s legal department or my own personal advisers.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acknowledge that neither this Acknowledgement nor the Policy is meant to constitute an employment or service contract.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Please review, sign, and return this form to the Company.</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910" w:type="dxa"/>
        <w:jc w:val="left"/>
        <w:tblInd w:w="0" w:type="dxa"/>
        <w:tblLayout w:type="fixed"/>
        <w:tblCellMar>
          <w:top w:w="0" w:type="dxa"/>
          <w:left w:w="0" w:type="dxa"/>
          <w:bottom w:w="0" w:type="dxa"/>
          <w:right w:w="0" w:type="dxa"/>
        </w:tblCellMar>
      </w:tblPr>
      <w:tblGrid>
        <w:gridCol w:w="1835"/>
        <w:gridCol w:w="7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[Month] [Date], [Year]</w:t>
            </w:r>
          </w:p>
        </w:tc>
        <w:tc>
          <w:tcPr>
            <w:tcW w:w="75" w:type="dxa"/>
            <w:tcBorders/>
            <w:vAlign w:val="center"/>
          </w:tcPr>
          <w:p>
            <w:pPr>
              <w:pStyle w:val="TableContents"/>
              <w:bidi w:val="0"/>
              <w:spacing w:before="0" w:after="283"/>
              <w:jc w:val="left"/>
              <w:rPr>
                <w:color w:val="000000"/>
              </w:rPr>
            </w:pPr>
            <w:r>
              <w:rPr>
                <w:color w:val="000000"/>
              </w:rPr>
              <w:t> </w:t>
            </w:r>
          </w:p>
        </w:tc>
      </w:tr>
      <w:tr>
        <w:trPr/>
        <w:tc>
          <w:tcPr>
            <w:tcW w:w="183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jc w:val="left"/>
              <w:rPr>
                <w:color w:val="000000"/>
              </w:rPr>
            </w:pPr>
            <w:r>
              <w:rPr>
                <w:color w:val="000000"/>
              </w:rPr>
              <w:t> </w:t>
            </w:r>
          </w:p>
        </w:tc>
      </w:tr>
      <w:tr>
        <w:trPr/>
        <w:tc>
          <w:tcPr>
            <w:tcW w:w="183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(print name and title)</w:t>
            </w:r>
          </w:p>
        </w:tc>
        <w:tc>
          <w:tcPr>
            <w:tcW w:w="75" w:type="dxa"/>
            <w:tcBorders/>
            <w:vAlign w:val="center"/>
          </w:tcPr>
          <w:p>
            <w:pPr>
              <w:pStyle w:val="TableContents"/>
              <w:bidi w:val="0"/>
              <w:spacing w:before="0" w:after="283"/>
              <w:jc w:val="left"/>
              <w:rPr>
                <w:color w:val="000000"/>
              </w:rPr>
            </w:pPr>
            <w:r>
              <w:rPr>
                <w:color w:val="000000"/>
              </w:rPr>
              <w:t> </w:t>
            </w:r>
          </w:p>
        </w:tc>
      </w:tr>
      <w:tr>
        <w:trPr/>
        <w:tc>
          <w:tcPr>
            <w:tcW w:w="183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jc w:val="left"/>
              <w:rPr>
                <w:color w:val="000000"/>
              </w:rPr>
            </w:pPr>
            <w:r>
              <w:rPr>
                <w:color w:val="000000"/>
              </w:rPr>
              <w:t> </w:t>
            </w:r>
          </w:p>
        </w:tc>
      </w:tr>
      <w:tr>
        <w:trPr/>
        <w:tc>
          <w:tcPr>
            <w:tcW w:w="183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w:t>
            </w:r>
          </w:p>
        </w:tc>
        <w:tc>
          <w:tcPr>
            <w:tcW w:w="75"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599/000149315226032318/ex3-1.htm" TargetMode="External"/><Relationship Id="rId3" Type="http://schemas.openxmlformats.org/officeDocument/2006/relationships/hyperlink" Target="https://www.sec.gov/Archives/edgar/data/2007599/000149315225010940/ex4-2.htm" TargetMode="External"/><Relationship Id="rId4" Type="http://schemas.openxmlformats.org/officeDocument/2006/relationships/hyperlink" Target="https://www.sec.gov/Archives/edgar/data/2007599/000149315225010940/ex4-2.htm" TargetMode="External"/><Relationship Id="rId5" Type="http://schemas.openxmlformats.org/officeDocument/2006/relationships/hyperlink" Target="https://www.sec.gov/Archives/edgar/data/2007599/000149315225006147/ex10-3.htm" TargetMode="External"/><Relationship Id="rId6" Type="http://schemas.openxmlformats.org/officeDocument/2006/relationships/hyperlink" Target="https://www.sec.gov/Archives/edgar/data/2007599/000149315225006147/ex10-4.htm" TargetMode="External"/><Relationship Id="rId7" Type="http://schemas.openxmlformats.org/officeDocument/2006/relationships/hyperlink" Target="https://www.sec.gov/Archives/edgar/data/2007599/000149315225006147/ex10-5.htm" TargetMode="External"/><Relationship Id="rId8" Type="http://schemas.openxmlformats.org/officeDocument/2006/relationships/hyperlink" Target="https://www.sec.gov/Archives/edgar/data/2007599/000149315225006147/ex10-6.htm" TargetMode="External"/><Relationship Id="rId9" Type="http://schemas.openxmlformats.org/officeDocument/2006/relationships/hyperlink" Target="https://www.sec.gov/Archives/edgar/data/2007599/000149315225006147/ex10-7.htm" TargetMode="External"/><Relationship Id="rId10" Type="http://schemas.openxmlformats.org/officeDocument/2006/relationships/hyperlink" Target="https://www.sec.gov/Archives/edgar/data/2007599/000149315225006147/ex10-8.htm" TargetMode="External"/><Relationship Id="rId11" Type="http://schemas.openxmlformats.org/officeDocument/2006/relationships/hyperlink" Target="https://www.sec.gov/Archives/edgar/data/2007599/000149315225010940/ex10-9.htm" TargetMode="External"/><Relationship Id="rId12" Type="http://schemas.openxmlformats.org/officeDocument/2006/relationships/hyperlink" Target="https://www.sec.gov/Archives/edgar/data/2007599/000149315225006147/ex10-10.htm" TargetMode="External"/><Relationship Id="rId13" Type="http://schemas.openxmlformats.org/officeDocument/2006/relationships/hyperlink" Target="https://www.sec.gov/Archives/edgar/data/2007599/000149315225006147/ex10-11.htm" TargetMode="External"/><Relationship Id="rId14" Type="http://schemas.openxmlformats.org/officeDocument/2006/relationships/hyperlink" Target="https://www.sec.gov/Archives/edgar/data/2007599/000149315225006147/ex10-12.htm" TargetMode="External"/><Relationship Id="rId15" Type="http://schemas.openxmlformats.org/officeDocument/2006/relationships/hyperlink" Target="https://www.sec.gov/Archives/edgar/data/2007599/000149315225010940/ex10-13.htm" TargetMode="External"/><Relationship Id="rId16" Type="http://schemas.openxmlformats.org/officeDocument/2006/relationships/hyperlink" Target="https://www.sec.gov/Archives/edgar/data/2007599/000149315225006147/ex10-14.htm" TargetMode="External"/><Relationship Id="rId17" Type="http://schemas.openxmlformats.org/officeDocument/2006/relationships/hyperlink" Target="https://www.sec.gov/Archives/edgar/data/2007599/000149315225006147/ex10-15.htm" TargetMode="External"/><Relationship Id="rId18" Type="http://schemas.openxmlformats.org/officeDocument/2006/relationships/hyperlink" Target="https://www.sec.gov/Archives/edgar/data/2007599/000164117225024240/ex4-16.htm" TargetMode="External"/><Relationship Id="rId19" Type="http://schemas.openxmlformats.org/officeDocument/2006/relationships/hyperlink" Target="https://www.sec.gov/Archives/edgar/data/2007599/000149315225010940/ex99-1.htm" TargetMode="External"/><Relationship Id="rId20" Type="http://schemas.openxmlformats.org/officeDocument/2006/relationships/hyperlink" Target="https://www.sec.gov/Archives/edgar/data/2007599/000164117225024240/ex11-2.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88470</Words>
  <Characters>478973</Characters>
  <CharactersWithSpaces>570087</CharactersWithSpaces>
  <Paragraphs>10900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